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768D" w14:textId="77777777" w:rsidR="00FE01B1" w:rsidRDefault="00FE01B1" w:rsidP="00847149">
      <w:pPr>
        <w:spacing w:after="0" w:line="264" w:lineRule="auto"/>
        <w:rPr>
          <w:b/>
          <w:sz w:val="20"/>
          <w:szCs w:val="20"/>
          <w:u w:val="single"/>
        </w:rPr>
      </w:pPr>
    </w:p>
    <w:p w14:paraId="221B0346" w14:textId="41D34178" w:rsidR="00782510" w:rsidRPr="00761122" w:rsidRDefault="000D7AF5" w:rsidP="00847149">
      <w:pPr>
        <w:spacing w:after="0" w:line="264" w:lineRule="auto"/>
        <w:rPr>
          <w:b/>
          <w:sz w:val="20"/>
          <w:szCs w:val="20"/>
          <w:u w:val="single"/>
        </w:rPr>
      </w:pPr>
      <w:r w:rsidRPr="00761122">
        <w:rPr>
          <w:b/>
          <w:sz w:val="20"/>
          <w:szCs w:val="20"/>
          <w:u w:val="single"/>
        </w:rPr>
        <w:t>Overview</w:t>
      </w:r>
      <w:r w:rsidR="008530DA">
        <w:rPr>
          <w:b/>
          <w:sz w:val="20"/>
          <w:szCs w:val="20"/>
          <w:u w:val="single"/>
        </w:rPr>
        <w:t xml:space="preserve"> and Intended Use</w:t>
      </w:r>
    </w:p>
    <w:p w14:paraId="7D5180EA" w14:textId="77777777" w:rsidR="008530DA" w:rsidRDefault="0059717E" w:rsidP="00847149">
      <w:pPr>
        <w:spacing w:after="0" w:line="264" w:lineRule="auto"/>
        <w:rPr>
          <w:sz w:val="20"/>
          <w:szCs w:val="20"/>
        </w:rPr>
      </w:pPr>
      <w:r w:rsidRPr="0059717E">
        <w:rPr>
          <w:sz w:val="20"/>
          <w:szCs w:val="20"/>
        </w:rPr>
        <w:t xml:space="preserve">GCRI partner organizations within each grantee site will collaborate to understand their collective starting points in the work, which includes undertaking an intensive diagnostic assessment of their current career preparation system to identify strengths and gaps. This involves examining existing policies and practices across the full range of partners and gathering input from key stakeholders on how well those policies and practices are working. </w:t>
      </w:r>
    </w:p>
    <w:p w14:paraId="2E215B48" w14:textId="77777777" w:rsidR="008530DA" w:rsidRDefault="008530DA" w:rsidP="00847149">
      <w:pPr>
        <w:spacing w:after="0" w:line="264" w:lineRule="auto"/>
        <w:rPr>
          <w:sz w:val="20"/>
          <w:szCs w:val="20"/>
        </w:rPr>
      </w:pPr>
    </w:p>
    <w:p w14:paraId="3EEE9CE2" w14:textId="004824FF" w:rsidR="001A440C" w:rsidRPr="00761122" w:rsidRDefault="008676A2" w:rsidP="00847149">
      <w:pPr>
        <w:spacing w:after="0" w:line="264" w:lineRule="auto"/>
        <w:rPr>
          <w:sz w:val="20"/>
          <w:szCs w:val="20"/>
        </w:rPr>
      </w:pPr>
      <w:r w:rsidRPr="00761122">
        <w:rPr>
          <w:sz w:val="20"/>
          <w:szCs w:val="20"/>
        </w:rPr>
        <w:t xml:space="preserve">To help </w:t>
      </w:r>
      <w:r w:rsidR="00726399">
        <w:rPr>
          <w:sz w:val="20"/>
          <w:szCs w:val="20"/>
        </w:rPr>
        <w:t>grantees</w:t>
      </w:r>
      <w:r w:rsidR="001A440C" w:rsidRPr="00761122">
        <w:rPr>
          <w:sz w:val="20"/>
          <w:szCs w:val="20"/>
        </w:rPr>
        <w:t xml:space="preserve"> effectively </w:t>
      </w:r>
      <w:r w:rsidR="00482AAF">
        <w:rPr>
          <w:sz w:val="20"/>
          <w:szCs w:val="20"/>
        </w:rPr>
        <w:t>undertake</w:t>
      </w:r>
      <w:r w:rsidR="001A440C" w:rsidRPr="00761122">
        <w:rPr>
          <w:sz w:val="20"/>
          <w:szCs w:val="20"/>
        </w:rPr>
        <w:t xml:space="preserve"> this </w:t>
      </w:r>
      <w:r w:rsidR="008530DA">
        <w:rPr>
          <w:sz w:val="20"/>
          <w:szCs w:val="20"/>
        </w:rPr>
        <w:t>analysis</w:t>
      </w:r>
      <w:r w:rsidR="001A440C" w:rsidRPr="00761122">
        <w:rPr>
          <w:sz w:val="20"/>
          <w:szCs w:val="20"/>
        </w:rPr>
        <w:t xml:space="preserve">, the national project partners </w:t>
      </w:r>
      <w:r w:rsidR="00726399">
        <w:rPr>
          <w:sz w:val="20"/>
          <w:szCs w:val="20"/>
        </w:rPr>
        <w:t>–</w:t>
      </w:r>
      <w:r w:rsidR="001A440C" w:rsidRPr="00761122">
        <w:rPr>
          <w:sz w:val="20"/>
          <w:szCs w:val="20"/>
        </w:rPr>
        <w:t xml:space="preserve"> </w:t>
      </w:r>
      <w:r w:rsidR="00726399">
        <w:rPr>
          <w:sz w:val="20"/>
          <w:szCs w:val="20"/>
        </w:rPr>
        <w:t>Education Strategy Group (</w:t>
      </w:r>
      <w:r w:rsidR="001A440C" w:rsidRPr="00761122">
        <w:rPr>
          <w:sz w:val="20"/>
          <w:szCs w:val="20"/>
        </w:rPr>
        <w:t>ESG</w:t>
      </w:r>
      <w:r w:rsidR="00726399">
        <w:rPr>
          <w:sz w:val="20"/>
          <w:szCs w:val="20"/>
        </w:rPr>
        <w:t>)</w:t>
      </w:r>
      <w:r w:rsidR="001A440C" w:rsidRPr="00761122">
        <w:rPr>
          <w:sz w:val="20"/>
          <w:szCs w:val="20"/>
        </w:rPr>
        <w:t xml:space="preserve"> and Advance CTE – have developed this </w:t>
      </w:r>
      <w:r w:rsidR="008530DA">
        <w:rPr>
          <w:sz w:val="20"/>
          <w:szCs w:val="20"/>
        </w:rPr>
        <w:t xml:space="preserve">self-assessment </w:t>
      </w:r>
      <w:r w:rsidR="001A440C" w:rsidRPr="00761122">
        <w:rPr>
          <w:sz w:val="20"/>
          <w:szCs w:val="20"/>
        </w:rPr>
        <w:t xml:space="preserve">tool that </w:t>
      </w:r>
      <w:r w:rsidR="00614F7A" w:rsidRPr="00761122">
        <w:rPr>
          <w:sz w:val="20"/>
          <w:szCs w:val="20"/>
        </w:rPr>
        <w:t>unpacks</w:t>
      </w:r>
      <w:r w:rsidR="001A440C" w:rsidRPr="00761122">
        <w:rPr>
          <w:sz w:val="20"/>
          <w:szCs w:val="20"/>
        </w:rPr>
        <w:t xml:space="preserve"> </w:t>
      </w:r>
      <w:r w:rsidR="00E017F8">
        <w:rPr>
          <w:sz w:val="20"/>
          <w:szCs w:val="20"/>
        </w:rPr>
        <w:t>model</w:t>
      </w:r>
      <w:r w:rsidR="00E60EA6">
        <w:rPr>
          <w:sz w:val="20"/>
          <w:szCs w:val="20"/>
        </w:rPr>
        <w:t xml:space="preserve"> practices associated with</w:t>
      </w:r>
      <w:r w:rsidR="00726399">
        <w:rPr>
          <w:sz w:val="20"/>
          <w:szCs w:val="20"/>
        </w:rPr>
        <w:t xml:space="preserve"> </w:t>
      </w:r>
      <w:r w:rsidR="00E60EA6">
        <w:rPr>
          <w:sz w:val="20"/>
          <w:szCs w:val="20"/>
        </w:rPr>
        <w:t>GCRI</w:t>
      </w:r>
      <w:r w:rsidR="00726399">
        <w:rPr>
          <w:sz w:val="20"/>
          <w:szCs w:val="20"/>
        </w:rPr>
        <w:t xml:space="preserve"> priorities</w:t>
      </w:r>
      <w:r w:rsidR="00E017F8">
        <w:rPr>
          <w:sz w:val="20"/>
          <w:szCs w:val="20"/>
        </w:rPr>
        <w:t>:</w:t>
      </w:r>
      <w:r w:rsidR="00726399">
        <w:rPr>
          <w:sz w:val="20"/>
          <w:szCs w:val="20"/>
        </w:rPr>
        <w:t xml:space="preserve"> </w:t>
      </w:r>
      <w:r w:rsidR="00E60EA6">
        <w:rPr>
          <w:sz w:val="20"/>
          <w:szCs w:val="20"/>
        </w:rPr>
        <w:t>high-quality career pathways, real</w:t>
      </w:r>
      <w:r w:rsidR="00497913">
        <w:rPr>
          <w:sz w:val="20"/>
          <w:szCs w:val="20"/>
        </w:rPr>
        <w:t>-</w:t>
      </w:r>
      <w:r w:rsidR="00E60EA6">
        <w:rPr>
          <w:sz w:val="20"/>
          <w:szCs w:val="20"/>
        </w:rPr>
        <w:t>world work experiences, seamless transitions to postsecondary education,</w:t>
      </w:r>
      <w:r w:rsidR="00033906">
        <w:rPr>
          <w:sz w:val="20"/>
          <w:szCs w:val="20"/>
        </w:rPr>
        <w:t xml:space="preserve"> and</w:t>
      </w:r>
      <w:r w:rsidR="00E51950">
        <w:rPr>
          <w:sz w:val="20"/>
          <w:szCs w:val="20"/>
        </w:rPr>
        <w:t xml:space="preserve"> closing equity gaps</w:t>
      </w:r>
      <w:r w:rsidR="00E60EA6">
        <w:rPr>
          <w:sz w:val="20"/>
          <w:szCs w:val="20"/>
        </w:rPr>
        <w:t xml:space="preserve">. The success of </w:t>
      </w:r>
      <w:r w:rsidR="00C56833">
        <w:rPr>
          <w:sz w:val="20"/>
          <w:szCs w:val="20"/>
        </w:rPr>
        <w:t xml:space="preserve">reaching </w:t>
      </w:r>
      <w:r w:rsidR="00E60EA6">
        <w:rPr>
          <w:sz w:val="20"/>
          <w:szCs w:val="20"/>
        </w:rPr>
        <w:t xml:space="preserve">each </w:t>
      </w:r>
      <w:r w:rsidR="00681F70">
        <w:rPr>
          <w:sz w:val="20"/>
          <w:szCs w:val="20"/>
        </w:rPr>
        <w:t xml:space="preserve">depends on the strength of each </w:t>
      </w:r>
      <w:r w:rsidR="00DC5E3F">
        <w:rPr>
          <w:sz w:val="20"/>
          <w:szCs w:val="20"/>
        </w:rPr>
        <w:t>site’s</w:t>
      </w:r>
      <w:r w:rsidR="00E60EA6">
        <w:rPr>
          <w:sz w:val="20"/>
          <w:szCs w:val="20"/>
        </w:rPr>
        <w:t xml:space="preserve"> cross-sector partnership</w:t>
      </w:r>
      <w:r w:rsidR="00681F70">
        <w:rPr>
          <w:sz w:val="20"/>
          <w:szCs w:val="20"/>
        </w:rPr>
        <w:t xml:space="preserve"> to carry out the work, which is why such partnership is referred to</w:t>
      </w:r>
      <w:r w:rsidR="00C56833">
        <w:rPr>
          <w:sz w:val="20"/>
          <w:szCs w:val="20"/>
        </w:rPr>
        <w:t xml:space="preserve"> in this instrument</w:t>
      </w:r>
      <w:r w:rsidR="00681F70">
        <w:rPr>
          <w:sz w:val="20"/>
          <w:szCs w:val="20"/>
        </w:rPr>
        <w:t xml:space="preserve"> as a foundational priority.</w:t>
      </w:r>
      <w:r w:rsidR="002557F4">
        <w:rPr>
          <w:sz w:val="20"/>
          <w:szCs w:val="20"/>
        </w:rPr>
        <w:t xml:space="preserve"> The </w:t>
      </w:r>
      <w:r w:rsidR="008530DA">
        <w:rPr>
          <w:sz w:val="20"/>
          <w:szCs w:val="20"/>
        </w:rPr>
        <w:t>self-</w:t>
      </w:r>
      <w:r w:rsidR="002557F4">
        <w:rPr>
          <w:sz w:val="20"/>
          <w:szCs w:val="20"/>
        </w:rPr>
        <w:t xml:space="preserve">assessment instrument </w:t>
      </w:r>
      <w:r w:rsidR="00E017F8">
        <w:rPr>
          <w:sz w:val="20"/>
          <w:szCs w:val="20"/>
        </w:rPr>
        <w:t>should</w:t>
      </w:r>
      <w:r w:rsidR="002557F4">
        <w:rPr>
          <w:sz w:val="20"/>
          <w:szCs w:val="20"/>
        </w:rPr>
        <w:t xml:space="preserve"> be used by grantees in two ways: 1) as a tool to support and guide a comprehensive</w:t>
      </w:r>
      <w:r w:rsidR="004D27E4">
        <w:rPr>
          <w:sz w:val="20"/>
          <w:szCs w:val="20"/>
        </w:rPr>
        <w:t>, cross-sector</w:t>
      </w:r>
      <w:r w:rsidR="002557F4">
        <w:rPr>
          <w:sz w:val="20"/>
          <w:szCs w:val="20"/>
        </w:rPr>
        <w:t xml:space="preserve"> process that examines, analyzes, and draws</w:t>
      </w:r>
      <w:r w:rsidR="00482AAF">
        <w:rPr>
          <w:sz w:val="20"/>
          <w:szCs w:val="20"/>
        </w:rPr>
        <w:t xml:space="preserve"> initial</w:t>
      </w:r>
      <w:r w:rsidR="002557F4">
        <w:rPr>
          <w:sz w:val="20"/>
          <w:szCs w:val="20"/>
        </w:rPr>
        <w:t xml:space="preserve"> conclusions about grantees’ current policies and practices</w:t>
      </w:r>
      <w:r w:rsidR="004D27E4">
        <w:rPr>
          <w:sz w:val="20"/>
          <w:szCs w:val="20"/>
        </w:rPr>
        <w:t xml:space="preserve"> at local and state levels</w:t>
      </w:r>
      <w:r w:rsidR="002557F4">
        <w:rPr>
          <w:sz w:val="20"/>
          <w:szCs w:val="20"/>
        </w:rPr>
        <w:t xml:space="preserve"> in </w:t>
      </w:r>
      <w:r w:rsidR="00C56833">
        <w:rPr>
          <w:sz w:val="20"/>
          <w:szCs w:val="20"/>
        </w:rPr>
        <w:t>GCRI</w:t>
      </w:r>
      <w:r w:rsidR="002557F4">
        <w:rPr>
          <w:sz w:val="20"/>
          <w:szCs w:val="20"/>
        </w:rPr>
        <w:t xml:space="preserve"> priority areas; and 2) as a road map of best practices that grantees can consult throughout the five-year initiative when making decisions about </w:t>
      </w:r>
      <w:r w:rsidR="004D27E4">
        <w:rPr>
          <w:sz w:val="20"/>
          <w:szCs w:val="20"/>
        </w:rPr>
        <w:t>ways to strengthen</w:t>
      </w:r>
      <w:r w:rsidR="002557F4">
        <w:rPr>
          <w:sz w:val="20"/>
          <w:szCs w:val="20"/>
        </w:rPr>
        <w:t xml:space="preserve"> their systems</w:t>
      </w:r>
      <w:r w:rsidR="00DC5E3F">
        <w:rPr>
          <w:sz w:val="20"/>
          <w:szCs w:val="20"/>
        </w:rPr>
        <w:t xml:space="preserve"> of career preparation.</w:t>
      </w:r>
    </w:p>
    <w:p w14:paraId="1CCC84C0" w14:textId="77777777" w:rsidR="00F61D2E" w:rsidRPr="00761122" w:rsidRDefault="00F61D2E" w:rsidP="00847149">
      <w:pPr>
        <w:spacing w:after="0" w:line="264" w:lineRule="auto"/>
        <w:rPr>
          <w:sz w:val="20"/>
          <w:szCs w:val="20"/>
        </w:rPr>
      </w:pPr>
    </w:p>
    <w:p w14:paraId="29115207" w14:textId="77777777" w:rsidR="004F131F" w:rsidRPr="00E94EA1" w:rsidRDefault="004F131F" w:rsidP="004F131F">
      <w:pPr>
        <w:spacing w:after="0" w:line="264" w:lineRule="auto"/>
        <w:rPr>
          <w:rFonts w:cs="Calibri"/>
          <w:b/>
          <w:bCs/>
          <w:sz w:val="20"/>
          <w:szCs w:val="20"/>
          <w:u w:val="single"/>
        </w:rPr>
      </w:pPr>
      <w:r>
        <w:rPr>
          <w:rFonts w:cs="Calibri"/>
          <w:b/>
          <w:bCs/>
          <w:sz w:val="20"/>
          <w:szCs w:val="20"/>
          <w:u w:val="single"/>
        </w:rPr>
        <w:t>Expectations for GCRI Partnerships</w:t>
      </w:r>
    </w:p>
    <w:p w14:paraId="5126A199" w14:textId="0266DF63" w:rsidR="004F131F" w:rsidRDefault="004F131F" w:rsidP="004F131F">
      <w:pPr>
        <w:spacing w:after="0" w:line="264" w:lineRule="auto"/>
        <w:rPr>
          <w:rFonts w:cs="Calibri"/>
          <w:sz w:val="20"/>
          <w:szCs w:val="20"/>
        </w:rPr>
      </w:pPr>
      <w:r>
        <w:rPr>
          <w:rFonts w:cs="Calibri"/>
          <w:sz w:val="20"/>
          <w:szCs w:val="20"/>
        </w:rPr>
        <w:t>Th</w:t>
      </w:r>
      <w:r w:rsidR="00C306D8">
        <w:rPr>
          <w:rFonts w:cs="Calibri"/>
          <w:sz w:val="20"/>
          <w:szCs w:val="20"/>
        </w:rPr>
        <w:t>e</w:t>
      </w:r>
      <w:r>
        <w:rPr>
          <w:rFonts w:cs="Calibri"/>
          <w:sz w:val="20"/>
          <w:szCs w:val="20"/>
        </w:rPr>
        <w:t xml:space="preserve"> </w:t>
      </w:r>
      <w:r w:rsidR="00482AAF">
        <w:rPr>
          <w:rFonts w:cs="Calibri"/>
          <w:sz w:val="20"/>
          <w:szCs w:val="20"/>
        </w:rPr>
        <w:t>self-</w:t>
      </w:r>
      <w:r>
        <w:rPr>
          <w:rFonts w:cs="Calibri"/>
          <w:sz w:val="20"/>
          <w:szCs w:val="20"/>
        </w:rPr>
        <w:t xml:space="preserve">assessment </w:t>
      </w:r>
      <w:r w:rsidR="00C306D8">
        <w:rPr>
          <w:rFonts w:cs="Calibri"/>
          <w:sz w:val="20"/>
          <w:szCs w:val="20"/>
        </w:rPr>
        <w:t xml:space="preserve">process </w:t>
      </w:r>
      <w:r w:rsidR="00482AAF">
        <w:rPr>
          <w:rFonts w:cs="Calibri"/>
          <w:sz w:val="20"/>
          <w:szCs w:val="20"/>
        </w:rPr>
        <w:t>within</w:t>
      </w:r>
      <w:r w:rsidR="00C306D8">
        <w:rPr>
          <w:rFonts w:cs="Calibri"/>
          <w:sz w:val="20"/>
          <w:szCs w:val="20"/>
        </w:rPr>
        <w:t xml:space="preserve"> this instrument</w:t>
      </w:r>
      <w:r w:rsidR="00482AAF">
        <w:rPr>
          <w:rFonts w:cs="Calibri"/>
          <w:sz w:val="20"/>
          <w:szCs w:val="20"/>
        </w:rPr>
        <w:t xml:space="preserve"> </w:t>
      </w:r>
      <w:r w:rsidR="00F35D05">
        <w:rPr>
          <w:rFonts w:cs="Calibri"/>
          <w:sz w:val="20"/>
          <w:szCs w:val="20"/>
        </w:rPr>
        <w:t xml:space="preserve">should be supported by additional </w:t>
      </w:r>
      <w:r w:rsidR="00B24997">
        <w:rPr>
          <w:rFonts w:cs="Calibri"/>
          <w:sz w:val="20"/>
          <w:szCs w:val="20"/>
        </w:rPr>
        <w:t>review</w:t>
      </w:r>
      <w:r w:rsidR="00F35D05">
        <w:rPr>
          <w:rFonts w:cs="Calibri"/>
          <w:sz w:val="20"/>
          <w:szCs w:val="20"/>
        </w:rPr>
        <w:t xml:space="preserve"> of relevant</w:t>
      </w:r>
      <w:r>
        <w:rPr>
          <w:rFonts w:cs="Calibri"/>
          <w:sz w:val="20"/>
          <w:szCs w:val="20"/>
        </w:rPr>
        <w:t xml:space="preserve"> policies and practices</w:t>
      </w:r>
      <w:r w:rsidR="00F35D05">
        <w:rPr>
          <w:rFonts w:cs="Calibri"/>
          <w:sz w:val="20"/>
          <w:szCs w:val="20"/>
        </w:rPr>
        <w:t xml:space="preserve">. </w:t>
      </w:r>
      <w:r w:rsidR="00482AAF">
        <w:rPr>
          <w:rFonts w:cs="Calibri"/>
          <w:sz w:val="20"/>
          <w:szCs w:val="20"/>
        </w:rPr>
        <w:t xml:space="preserve">As team members of each partnership </w:t>
      </w:r>
      <w:r w:rsidR="00F35D05">
        <w:rPr>
          <w:rFonts w:cs="Calibri"/>
          <w:sz w:val="20"/>
          <w:szCs w:val="20"/>
        </w:rPr>
        <w:t xml:space="preserve">collaboratively </w:t>
      </w:r>
      <w:r w:rsidR="00482AAF">
        <w:rPr>
          <w:rFonts w:cs="Calibri"/>
          <w:sz w:val="20"/>
          <w:szCs w:val="20"/>
        </w:rPr>
        <w:t>consider and respond</w:t>
      </w:r>
      <w:r w:rsidR="00F35D05">
        <w:rPr>
          <w:rFonts w:cs="Calibri"/>
          <w:sz w:val="20"/>
          <w:szCs w:val="20"/>
        </w:rPr>
        <w:t xml:space="preserve"> to the </w:t>
      </w:r>
      <w:r w:rsidR="00A66CE6">
        <w:rPr>
          <w:rFonts w:cs="Calibri"/>
          <w:sz w:val="20"/>
          <w:szCs w:val="20"/>
        </w:rPr>
        <w:t>statements</w:t>
      </w:r>
      <w:r w:rsidR="00F35D05">
        <w:rPr>
          <w:rFonts w:cs="Calibri"/>
          <w:sz w:val="20"/>
          <w:szCs w:val="20"/>
        </w:rPr>
        <w:t xml:space="preserve"> in this instrument</w:t>
      </w:r>
      <w:r w:rsidR="00482AAF">
        <w:rPr>
          <w:rFonts w:cs="Calibri"/>
          <w:sz w:val="20"/>
          <w:szCs w:val="20"/>
        </w:rPr>
        <w:t xml:space="preserve">, they should take into consideration information from other sources that can shed light on their responses, such as the findings of the GCRI secondary and postsecondary equity analyses and stakeholder surveys. They might also </w:t>
      </w:r>
      <w:r>
        <w:rPr>
          <w:rFonts w:cs="Calibri"/>
          <w:sz w:val="20"/>
          <w:szCs w:val="20"/>
        </w:rPr>
        <w:t>analyz</w:t>
      </w:r>
      <w:r w:rsidR="00F35D05">
        <w:rPr>
          <w:rFonts w:cs="Calibri"/>
          <w:sz w:val="20"/>
          <w:szCs w:val="20"/>
        </w:rPr>
        <w:t>e</w:t>
      </w:r>
      <w:r>
        <w:rPr>
          <w:rFonts w:cs="Calibri"/>
          <w:sz w:val="20"/>
          <w:szCs w:val="20"/>
        </w:rPr>
        <w:t xml:space="preserve"> a range of labor market</w:t>
      </w:r>
      <w:r w:rsidR="00482AAF">
        <w:rPr>
          <w:rFonts w:cs="Calibri"/>
          <w:sz w:val="20"/>
          <w:szCs w:val="20"/>
        </w:rPr>
        <w:t xml:space="preserve"> information</w:t>
      </w:r>
      <w:r>
        <w:rPr>
          <w:rFonts w:cs="Calibri"/>
          <w:sz w:val="20"/>
          <w:szCs w:val="20"/>
        </w:rPr>
        <w:t xml:space="preserve"> </w:t>
      </w:r>
      <w:r w:rsidR="00482AAF">
        <w:rPr>
          <w:rFonts w:cs="Calibri"/>
          <w:sz w:val="20"/>
          <w:szCs w:val="20"/>
        </w:rPr>
        <w:t>to understand the extent to which their pathways are demand driven</w:t>
      </w:r>
      <w:r>
        <w:rPr>
          <w:rFonts w:cs="Calibri"/>
          <w:sz w:val="20"/>
          <w:szCs w:val="20"/>
        </w:rPr>
        <w:t>.</w:t>
      </w:r>
      <w:r w:rsidR="00A66CE6">
        <w:rPr>
          <w:rFonts w:cs="Calibri"/>
          <w:sz w:val="20"/>
          <w:szCs w:val="20"/>
        </w:rPr>
        <w:t xml:space="preserve"> </w:t>
      </w:r>
      <w:r>
        <w:rPr>
          <w:rFonts w:cs="Calibri"/>
          <w:sz w:val="20"/>
          <w:szCs w:val="20"/>
        </w:rPr>
        <w:t>Coaches assigned to each partnership will support</w:t>
      </w:r>
      <w:r w:rsidR="00C50713">
        <w:rPr>
          <w:rFonts w:cs="Calibri"/>
          <w:sz w:val="20"/>
          <w:szCs w:val="20"/>
        </w:rPr>
        <w:t xml:space="preserve"> and help focus</w:t>
      </w:r>
      <w:r>
        <w:rPr>
          <w:rFonts w:cs="Calibri"/>
          <w:sz w:val="20"/>
          <w:szCs w:val="20"/>
        </w:rPr>
        <w:t xml:space="preserve"> </w:t>
      </w:r>
      <w:r w:rsidR="00C56833">
        <w:rPr>
          <w:rFonts w:cs="Calibri"/>
          <w:sz w:val="20"/>
          <w:szCs w:val="20"/>
        </w:rPr>
        <w:t xml:space="preserve">the </w:t>
      </w:r>
      <w:r>
        <w:rPr>
          <w:rFonts w:cs="Calibri"/>
          <w:sz w:val="20"/>
          <w:szCs w:val="20"/>
        </w:rPr>
        <w:t xml:space="preserve">work </w:t>
      </w:r>
      <w:r w:rsidR="00C56833">
        <w:rPr>
          <w:rFonts w:cs="Calibri"/>
          <w:sz w:val="20"/>
          <w:szCs w:val="20"/>
        </w:rPr>
        <w:t>of</w:t>
      </w:r>
      <w:r>
        <w:rPr>
          <w:rFonts w:cs="Calibri"/>
          <w:sz w:val="20"/>
          <w:szCs w:val="20"/>
        </w:rPr>
        <w:t xml:space="preserve"> the </w:t>
      </w:r>
      <w:r w:rsidR="00482AAF">
        <w:rPr>
          <w:rFonts w:cs="Calibri"/>
          <w:sz w:val="20"/>
          <w:szCs w:val="20"/>
        </w:rPr>
        <w:t>self-</w:t>
      </w:r>
      <w:r>
        <w:rPr>
          <w:rFonts w:cs="Calibri"/>
          <w:sz w:val="20"/>
          <w:szCs w:val="20"/>
        </w:rPr>
        <w:t>assessment to help</w:t>
      </w:r>
      <w:r w:rsidR="00C56833">
        <w:rPr>
          <w:rFonts w:cs="Calibri"/>
          <w:sz w:val="20"/>
          <w:szCs w:val="20"/>
        </w:rPr>
        <w:t xml:space="preserve"> the</w:t>
      </w:r>
      <w:r>
        <w:rPr>
          <w:rFonts w:cs="Calibri"/>
          <w:sz w:val="20"/>
          <w:szCs w:val="20"/>
        </w:rPr>
        <w:t xml:space="preserve"> partnership paint a clear, reliable picture of the strengths and gaps </w:t>
      </w:r>
      <w:r w:rsidR="00F35D05">
        <w:rPr>
          <w:rFonts w:cs="Calibri"/>
          <w:sz w:val="20"/>
          <w:szCs w:val="20"/>
        </w:rPr>
        <w:t xml:space="preserve">of </w:t>
      </w:r>
      <w:r w:rsidR="00C56833">
        <w:rPr>
          <w:rFonts w:cs="Calibri"/>
          <w:sz w:val="20"/>
          <w:szCs w:val="20"/>
        </w:rPr>
        <w:t>its</w:t>
      </w:r>
      <w:r>
        <w:rPr>
          <w:rFonts w:cs="Calibri"/>
          <w:sz w:val="20"/>
          <w:szCs w:val="20"/>
        </w:rPr>
        <w:t xml:space="preserve"> shared career preparation system.</w:t>
      </w:r>
    </w:p>
    <w:p w14:paraId="24501875" w14:textId="77777777" w:rsidR="004F131F" w:rsidRDefault="004F131F" w:rsidP="004F131F">
      <w:pPr>
        <w:spacing w:after="0" w:line="264" w:lineRule="auto"/>
        <w:rPr>
          <w:rFonts w:cs="Calibri"/>
          <w:sz w:val="20"/>
          <w:szCs w:val="20"/>
        </w:rPr>
      </w:pPr>
    </w:p>
    <w:p w14:paraId="6D0D7C22" w14:textId="1C2B40F1" w:rsidR="00F61D2E" w:rsidRPr="00761122" w:rsidRDefault="00475415" w:rsidP="004F131F">
      <w:pPr>
        <w:spacing w:after="0" w:line="264" w:lineRule="auto"/>
        <w:rPr>
          <w:b/>
          <w:sz w:val="20"/>
          <w:szCs w:val="20"/>
          <w:u w:val="single"/>
        </w:rPr>
      </w:pPr>
      <w:r>
        <w:rPr>
          <w:b/>
          <w:sz w:val="20"/>
          <w:szCs w:val="20"/>
          <w:u w:val="single"/>
        </w:rPr>
        <w:t>Organization</w:t>
      </w:r>
      <w:r w:rsidR="00F61D2E" w:rsidRPr="00761122">
        <w:rPr>
          <w:b/>
          <w:sz w:val="20"/>
          <w:szCs w:val="20"/>
          <w:u w:val="single"/>
        </w:rPr>
        <w:t xml:space="preserve"> of this </w:t>
      </w:r>
      <w:r w:rsidR="00482AAF">
        <w:rPr>
          <w:b/>
          <w:sz w:val="20"/>
          <w:szCs w:val="20"/>
          <w:u w:val="single"/>
        </w:rPr>
        <w:t>Self-</w:t>
      </w:r>
      <w:r w:rsidR="00F61D2E" w:rsidRPr="00761122">
        <w:rPr>
          <w:b/>
          <w:sz w:val="20"/>
          <w:szCs w:val="20"/>
          <w:u w:val="single"/>
        </w:rPr>
        <w:t xml:space="preserve">Assessment </w:t>
      </w:r>
      <w:r>
        <w:rPr>
          <w:b/>
          <w:sz w:val="20"/>
          <w:szCs w:val="20"/>
          <w:u w:val="single"/>
        </w:rPr>
        <w:t>Instrument</w:t>
      </w:r>
    </w:p>
    <w:p w14:paraId="5E08E483" w14:textId="77777777" w:rsidR="00FE01B1" w:rsidRDefault="00DC5E3F" w:rsidP="00847149">
      <w:pPr>
        <w:spacing w:after="0" w:line="264" w:lineRule="auto"/>
        <w:rPr>
          <w:sz w:val="20"/>
          <w:szCs w:val="20"/>
        </w:rPr>
      </w:pPr>
      <w:r>
        <w:rPr>
          <w:sz w:val="20"/>
          <w:szCs w:val="20"/>
        </w:rPr>
        <w:t xml:space="preserve">Each </w:t>
      </w:r>
      <w:r w:rsidR="00475415">
        <w:rPr>
          <w:sz w:val="20"/>
          <w:szCs w:val="20"/>
        </w:rPr>
        <w:t>GCRI priorit</w:t>
      </w:r>
      <w:r>
        <w:rPr>
          <w:sz w:val="20"/>
          <w:szCs w:val="20"/>
        </w:rPr>
        <w:t>y has</w:t>
      </w:r>
      <w:r w:rsidR="00782510" w:rsidRPr="00761122">
        <w:rPr>
          <w:sz w:val="20"/>
          <w:szCs w:val="20"/>
        </w:rPr>
        <w:t xml:space="preserve"> been unpacked</w:t>
      </w:r>
      <w:r w:rsidR="008676A2" w:rsidRPr="00761122">
        <w:rPr>
          <w:sz w:val="20"/>
          <w:szCs w:val="20"/>
        </w:rPr>
        <w:t xml:space="preserve"> </w:t>
      </w:r>
      <w:r w:rsidR="00475415">
        <w:rPr>
          <w:sz w:val="20"/>
          <w:szCs w:val="20"/>
        </w:rPr>
        <w:t>on the following pages</w:t>
      </w:r>
      <w:r w:rsidR="00782510" w:rsidRPr="00761122">
        <w:rPr>
          <w:sz w:val="20"/>
          <w:szCs w:val="20"/>
        </w:rPr>
        <w:t xml:space="preserve"> into targe</w:t>
      </w:r>
      <w:r w:rsidR="00E94EA1">
        <w:rPr>
          <w:sz w:val="20"/>
          <w:szCs w:val="20"/>
        </w:rPr>
        <w:t>t</w:t>
      </w:r>
      <w:r w:rsidR="00782510" w:rsidRPr="00761122">
        <w:rPr>
          <w:sz w:val="20"/>
          <w:szCs w:val="20"/>
        </w:rPr>
        <w:t xml:space="preserve"> outcomes that </w:t>
      </w:r>
      <w:r w:rsidR="0057125A" w:rsidRPr="00761122">
        <w:rPr>
          <w:sz w:val="20"/>
          <w:szCs w:val="20"/>
        </w:rPr>
        <w:t xml:space="preserve">each </w:t>
      </w:r>
      <w:r w:rsidR="00475415">
        <w:rPr>
          <w:sz w:val="20"/>
          <w:szCs w:val="20"/>
        </w:rPr>
        <w:t>partnership</w:t>
      </w:r>
      <w:r w:rsidR="0057125A" w:rsidRPr="00761122">
        <w:rPr>
          <w:sz w:val="20"/>
          <w:szCs w:val="20"/>
        </w:rPr>
        <w:t xml:space="preserve"> will </w:t>
      </w:r>
      <w:r w:rsidR="00374D5B">
        <w:rPr>
          <w:sz w:val="20"/>
          <w:szCs w:val="20"/>
        </w:rPr>
        <w:t>work</w:t>
      </w:r>
      <w:r w:rsidR="0057125A" w:rsidRPr="00761122">
        <w:rPr>
          <w:sz w:val="20"/>
          <w:szCs w:val="20"/>
        </w:rPr>
        <w:t xml:space="preserve"> to reach</w:t>
      </w:r>
      <w:r w:rsidR="00475415">
        <w:rPr>
          <w:sz w:val="20"/>
          <w:szCs w:val="20"/>
        </w:rPr>
        <w:t xml:space="preserve"> across the </w:t>
      </w:r>
      <w:r w:rsidR="00E017F8">
        <w:rPr>
          <w:sz w:val="20"/>
          <w:szCs w:val="20"/>
        </w:rPr>
        <w:t>grant</w:t>
      </w:r>
      <w:r w:rsidR="00782510" w:rsidRPr="00761122">
        <w:rPr>
          <w:sz w:val="20"/>
          <w:szCs w:val="20"/>
        </w:rPr>
        <w:t>.</w:t>
      </w:r>
      <w:r w:rsidR="00761122" w:rsidRPr="00761122">
        <w:rPr>
          <w:sz w:val="20"/>
          <w:szCs w:val="20"/>
        </w:rPr>
        <w:t xml:space="preserve"> </w:t>
      </w:r>
      <w:r w:rsidR="00782510" w:rsidRPr="00761122">
        <w:rPr>
          <w:sz w:val="20"/>
          <w:szCs w:val="20"/>
        </w:rPr>
        <w:t xml:space="preserve">Those outcomes are further </w:t>
      </w:r>
      <w:r w:rsidR="0057125A" w:rsidRPr="00761122">
        <w:rPr>
          <w:sz w:val="20"/>
          <w:szCs w:val="20"/>
        </w:rPr>
        <w:t>defined</w:t>
      </w:r>
      <w:r w:rsidR="00782510" w:rsidRPr="00761122">
        <w:rPr>
          <w:sz w:val="20"/>
          <w:szCs w:val="20"/>
        </w:rPr>
        <w:t xml:space="preserve"> </w:t>
      </w:r>
      <w:r w:rsidR="0057125A" w:rsidRPr="00761122">
        <w:rPr>
          <w:sz w:val="20"/>
          <w:szCs w:val="20"/>
        </w:rPr>
        <w:t>through</w:t>
      </w:r>
      <w:r w:rsidR="00782510" w:rsidRPr="00761122">
        <w:rPr>
          <w:sz w:val="20"/>
          <w:szCs w:val="20"/>
        </w:rPr>
        <w:t xml:space="preserve"> “</w:t>
      </w:r>
      <w:r w:rsidR="0057125A" w:rsidRPr="00761122">
        <w:rPr>
          <w:sz w:val="20"/>
          <w:szCs w:val="20"/>
        </w:rPr>
        <w:t>supporting criteria</w:t>
      </w:r>
      <w:r w:rsidR="00761122" w:rsidRPr="00761122">
        <w:rPr>
          <w:sz w:val="20"/>
          <w:szCs w:val="20"/>
        </w:rPr>
        <w:t xml:space="preserve">” that will help </w:t>
      </w:r>
      <w:r w:rsidR="00475415">
        <w:rPr>
          <w:sz w:val="20"/>
          <w:szCs w:val="20"/>
        </w:rPr>
        <w:t>partnerships</w:t>
      </w:r>
      <w:r w:rsidR="00782510" w:rsidRPr="00761122">
        <w:rPr>
          <w:sz w:val="20"/>
          <w:szCs w:val="20"/>
        </w:rPr>
        <w:t xml:space="preserve"> assess the current </w:t>
      </w:r>
      <w:r w:rsidR="00E94EA1">
        <w:rPr>
          <w:sz w:val="20"/>
          <w:szCs w:val="20"/>
        </w:rPr>
        <w:t>state</w:t>
      </w:r>
      <w:r w:rsidR="00782510" w:rsidRPr="00761122">
        <w:rPr>
          <w:sz w:val="20"/>
          <w:szCs w:val="20"/>
        </w:rPr>
        <w:t xml:space="preserve"> of their policies and practices and think more clearly and specifically about what they seek to accomplish through the work ahead.</w:t>
      </w:r>
      <w:r w:rsidR="00761122" w:rsidRPr="00761122">
        <w:rPr>
          <w:sz w:val="20"/>
          <w:szCs w:val="20"/>
        </w:rPr>
        <w:t xml:space="preserve">  </w:t>
      </w:r>
    </w:p>
    <w:p w14:paraId="4D66337F" w14:textId="77777777" w:rsidR="00FE01B1" w:rsidRDefault="00FE01B1" w:rsidP="00847149">
      <w:pPr>
        <w:spacing w:after="0" w:line="264" w:lineRule="auto"/>
        <w:rPr>
          <w:sz w:val="20"/>
          <w:szCs w:val="20"/>
        </w:rPr>
      </w:pPr>
    </w:p>
    <w:p w14:paraId="39602202" w14:textId="2B076198" w:rsidR="00782510" w:rsidRPr="00761122" w:rsidRDefault="00782510" w:rsidP="00847149">
      <w:pPr>
        <w:spacing w:after="0" w:line="264" w:lineRule="auto"/>
        <w:rPr>
          <w:sz w:val="20"/>
          <w:szCs w:val="20"/>
        </w:rPr>
      </w:pPr>
      <w:r w:rsidRPr="00761122">
        <w:rPr>
          <w:rFonts w:cs="Calibri"/>
          <w:sz w:val="20"/>
          <w:szCs w:val="20"/>
        </w:rPr>
        <w:t xml:space="preserve">For each of the </w:t>
      </w:r>
      <w:r w:rsidR="00475415">
        <w:rPr>
          <w:rFonts w:cs="Calibri"/>
          <w:sz w:val="20"/>
          <w:szCs w:val="20"/>
        </w:rPr>
        <w:t>supporting criteria</w:t>
      </w:r>
      <w:r w:rsidR="0057125A" w:rsidRPr="00761122">
        <w:rPr>
          <w:rFonts w:cs="Calibri"/>
          <w:sz w:val="20"/>
          <w:szCs w:val="20"/>
        </w:rPr>
        <w:t xml:space="preserve">, </w:t>
      </w:r>
      <w:r w:rsidR="00B8501B">
        <w:rPr>
          <w:rFonts w:cs="Calibri"/>
          <w:sz w:val="20"/>
          <w:szCs w:val="20"/>
        </w:rPr>
        <w:t xml:space="preserve">partnering organizations </w:t>
      </w:r>
      <w:r w:rsidR="00475415">
        <w:rPr>
          <w:rFonts w:cs="Calibri"/>
          <w:sz w:val="20"/>
          <w:szCs w:val="20"/>
        </w:rPr>
        <w:t xml:space="preserve">will </w:t>
      </w:r>
      <w:r w:rsidR="00C50713">
        <w:rPr>
          <w:rFonts w:cs="Calibri"/>
          <w:sz w:val="20"/>
          <w:szCs w:val="20"/>
        </w:rPr>
        <w:t xml:space="preserve">collaboratively </w:t>
      </w:r>
      <w:r w:rsidRPr="00761122">
        <w:rPr>
          <w:rFonts w:cs="Calibri"/>
          <w:sz w:val="20"/>
          <w:szCs w:val="20"/>
        </w:rPr>
        <w:t>assess</w:t>
      </w:r>
      <w:r w:rsidRPr="00761122">
        <w:rPr>
          <w:rFonts w:cs="Calibri"/>
          <w:spacing w:val="1"/>
          <w:sz w:val="20"/>
          <w:szCs w:val="20"/>
        </w:rPr>
        <w:t xml:space="preserve"> </w:t>
      </w:r>
      <w:r w:rsidRPr="00761122">
        <w:rPr>
          <w:rFonts w:cs="Calibri"/>
          <w:sz w:val="20"/>
          <w:szCs w:val="20"/>
        </w:rPr>
        <w:t xml:space="preserve">their </w:t>
      </w:r>
      <w:r w:rsidR="00DC5E3F">
        <w:rPr>
          <w:rFonts w:cs="Calibri"/>
          <w:sz w:val="20"/>
          <w:szCs w:val="20"/>
        </w:rPr>
        <w:t>current work</w:t>
      </w:r>
      <w:r w:rsidR="00374D5B">
        <w:rPr>
          <w:rFonts w:cs="Calibri"/>
          <w:sz w:val="20"/>
          <w:szCs w:val="20"/>
        </w:rPr>
        <w:t xml:space="preserve"> (through the process described </w:t>
      </w:r>
      <w:r w:rsidR="00FE01B1">
        <w:rPr>
          <w:rFonts w:cs="Calibri"/>
          <w:sz w:val="20"/>
          <w:szCs w:val="20"/>
        </w:rPr>
        <w:t>above</w:t>
      </w:r>
      <w:r w:rsidR="00374D5B">
        <w:rPr>
          <w:rFonts w:cs="Calibri"/>
          <w:sz w:val="20"/>
          <w:szCs w:val="20"/>
        </w:rPr>
        <w:t>)</w:t>
      </w:r>
      <w:r w:rsidRPr="00761122">
        <w:rPr>
          <w:rFonts w:cs="Calibri"/>
          <w:sz w:val="20"/>
          <w:szCs w:val="20"/>
        </w:rPr>
        <w:t xml:space="preserve"> using a 1-4 rating scale:  </w:t>
      </w:r>
    </w:p>
    <w:p w14:paraId="380571BB" w14:textId="2A6BB81D" w:rsidR="00782510" w:rsidRPr="00761122" w:rsidRDefault="00782510" w:rsidP="00A44D7D">
      <w:pPr>
        <w:pStyle w:val="ListParagraph"/>
        <w:numPr>
          <w:ilvl w:val="0"/>
          <w:numId w:val="2"/>
        </w:numPr>
        <w:spacing w:after="0" w:line="264" w:lineRule="auto"/>
        <w:rPr>
          <w:sz w:val="20"/>
          <w:szCs w:val="20"/>
        </w:rPr>
      </w:pPr>
      <w:r w:rsidRPr="00761122">
        <w:rPr>
          <w:b/>
          <w:sz w:val="20"/>
          <w:szCs w:val="20"/>
        </w:rPr>
        <w:t>1 = Limited Progress</w:t>
      </w:r>
      <w:r w:rsidRPr="00761122">
        <w:rPr>
          <w:sz w:val="20"/>
          <w:szCs w:val="20"/>
        </w:rPr>
        <w:t>: This is not yet a priority</w:t>
      </w:r>
      <w:r w:rsidR="00DC5E3F">
        <w:rPr>
          <w:sz w:val="20"/>
          <w:szCs w:val="20"/>
        </w:rPr>
        <w:t xml:space="preserve"> for the partnership</w:t>
      </w:r>
      <w:r w:rsidRPr="00761122">
        <w:rPr>
          <w:sz w:val="20"/>
          <w:szCs w:val="20"/>
        </w:rPr>
        <w:t xml:space="preserve">.  There is </w:t>
      </w:r>
      <w:proofErr w:type="gramStart"/>
      <w:r w:rsidRPr="00761122">
        <w:rPr>
          <w:sz w:val="20"/>
          <w:szCs w:val="20"/>
        </w:rPr>
        <w:t>very little</w:t>
      </w:r>
      <w:proofErr w:type="gramEnd"/>
      <w:r w:rsidRPr="00761122">
        <w:rPr>
          <w:sz w:val="20"/>
          <w:szCs w:val="20"/>
        </w:rPr>
        <w:t xml:space="preserve"> activity and no significant effort to address this </w:t>
      </w:r>
      <w:r w:rsidR="00374D5B">
        <w:rPr>
          <w:sz w:val="20"/>
          <w:szCs w:val="20"/>
        </w:rPr>
        <w:t>criteri</w:t>
      </w:r>
      <w:r w:rsidR="00C56833">
        <w:rPr>
          <w:sz w:val="20"/>
          <w:szCs w:val="20"/>
        </w:rPr>
        <w:t>on</w:t>
      </w:r>
      <w:r w:rsidRPr="00761122">
        <w:rPr>
          <w:sz w:val="20"/>
          <w:szCs w:val="20"/>
        </w:rPr>
        <w:t xml:space="preserve"> yet.</w:t>
      </w:r>
    </w:p>
    <w:p w14:paraId="43E8E5F4" w14:textId="78084DC2" w:rsidR="00782510" w:rsidRPr="00761122" w:rsidRDefault="00782510" w:rsidP="00A44D7D">
      <w:pPr>
        <w:pStyle w:val="ListParagraph"/>
        <w:numPr>
          <w:ilvl w:val="0"/>
          <w:numId w:val="2"/>
        </w:numPr>
        <w:spacing w:after="0" w:line="264" w:lineRule="auto"/>
        <w:rPr>
          <w:sz w:val="20"/>
          <w:szCs w:val="20"/>
        </w:rPr>
      </w:pPr>
      <w:r w:rsidRPr="00761122">
        <w:rPr>
          <w:b/>
          <w:sz w:val="20"/>
          <w:szCs w:val="20"/>
        </w:rPr>
        <w:t>2 = Emerging Practice</w:t>
      </w:r>
      <w:r w:rsidRPr="00761122">
        <w:rPr>
          <w:sz w:val="20"/>
          <w:szCs w:val="20"/>
        </w:rPr>
        <w:t xml:space="preserve">: This is becoming a priority for the </w:t>
      </w:r>
      <w:r w:rsidR="00DC5E3F">
        <w:rPr>
          <w:sz w:val="20"/>
          <w:szCs w:val="20"/>
        </w:rPr>
        <w:t>partnership</w:t>
      </w:r>
      <w:r w:rsidRPr="00761122">
        <w:rPr>
          <w:sz w:val="20"/>
          <w:szCs w:val="20"/>
        </w:rPr>
        <w:t xml:space="preserve">.  Early work has been done to lay a foundation to reach this </w:t>
      </w:r>
      <w:r w:rsidR="00374D5B">
        <w:rPr>
          <w:sz w:val="20"/>
          <w:szCs w:val="20"/>
        </w:rPr>
        <w:t>criter</w:t>
      </w:r>
      <w:r w:rsidR="00C56833">
        <w:rPr>
          <w:sz w:val="20"/>
          <w:szCs w:val="20"/>
        </w:rPr>
        <w:t>ion</w:t>
      </w:r>
      <w:r w:rsidRPr="00761122">
        <w:rPr>
          <w:sz w:val="20"/>
          <w:szCs w:val="20"/>
        </w:rPr>
        <w:t xml:space="preserve">.  </w:t>
      </w:r>
    </w:p>
    <w:p w14:paraId="58CAA55E" w14:textId="3E676680" w:rsidR="00782510" w:rsidRPr="00761122" w:rsidRDefault="00782510" w:rsidP="00A44D7D">
      <w:pPr>
        <w:pStyle w:val="ListParagraph"/>
        <w:numPr>
          <w:ilvl w:val="0"/>
          <w:numId w:val="2"/>
        </w:numPr>
        <w:spacing w:after="0" w:line="264" w:lineRule="auto"/>
        <w:rPr>
          <w:sz w:val="20"/>
          <w:szCs w:val="20"/>
        </w:rPr>
      </w:pPr>
      <w:r w:rsidRPr="00761122">
        <w:rPr>
          <w:b/>
          <w:sz w:val="20"/>
          <w:szCs w:val="20"/>
        </w:rPr>
        <w:t>3 =Established Practice</w:t>
      </w:r>
      <w:r w:rsidRPr="00761122">
        <w:rPr>
          <w:sz w:val="20"/>
          <w:szCs w:val="20"/>
        </w:rPr>
        <w:t xml:space="preserve">: This is a priority for the </w:t>
      </w:r>
      <w:r w:rsidR="00DC5E3F">
        <w:rPr>
          <w:sz w:val="20"/>
          <w:szCs w:val="20"/>
        </w:rPr>
        <w:t>partnership</w:t>
      </w:r>
      <w:r w:rsidRPr="00761122">
        <w:rPr>
          <w:sz w:val="20"/>
          <w:szCs w:val="20"/>
        </w:rPr>
        <w:t>.  Policies have been adopted and work is being implemented that can be strengthened and scaled.</w:t>
      </w:r>
    </w:p>
    <w:p w14:paraId="7136FE48" w14:textId="5537D00C" w:rsidR="00782510" w:rsidRPr="00FE01B1" w:rsidRDefault="00782510" w:rsidP="00A44D7D">
      <w:pPr>
        <w:pStyle w:val="ListParagraph"/>
        <w:widowControl w:val="0"/>
        <w:numPr>
          <w:ilvl w:val="0"/>
          <w:numId w:val="2"/>
        </w:numPr>
        <w:autoSpaceDE w:val="0"/>
        <w:autoSpaceDN w:val="0"/>
        <w:adjustRightInd w:val="0"/>
        <w:spacing w:after="0" w:line="264" w:lineRule="auto"/>
        <w:ind w:right="187"/>
        <w:rPr>
          <w:rFonts w:cs="Calibri"/>
          <w:b/>
          <w:sz w:val="20"/>
          <w:szCs w:val="20"/>
        </w:rPr>
      </w:pPr>
      <w:r w:rsidRPr="00761122">
        <w:rPr>
          <w:b/>
          <w:sz w:val="20"/>
          <w:szCs w:val="20"/>
        </w:rPr>
        <w:t>4 =Sustained Practice</w:t>
      </w:r>
      <w:r w:rsidRPr="00761122">
        <w:rPr>
          <w:sz w:val="20"/>
          <w:szCs w:val="20"/>
        </w:rPr>
        <w:t>:</w:t>
      </w:r>
      <w:r w:rsidR="00C56833">
        <w:rPr>
          <w:sz w:val="20"/>
          <w:szCs w:val="20"/>
        </w:rPr>
        <w:t xml:space="preserve"> </w:t>
      </w:r>
      <w:r w:rsidRPr="00761122">
        <w:rPr>
          <w:sz w:val="20"/>
          <w:szCs w:val="20"/>
        </w:rPr>
        <w:t xml:space="preserve">The </w:t>
      </w:r>
      <w:r w:rsidR="00DC5E3F">
        <w:rPr>
          <w:sz w:val="20"/>
          <w:szCs w:val="20"/>
        </w:rPr>
        <w:t>partnership</w:t>
      </w:r>
      <w:r w:rsidRPr="00761122">
        <w:rPr>
          <w:sz w:val="20"/>
          <w:szCs w:val="20"/>
        </w:rPr>
        <w:t xml:space="preserve"> has met this </w:t>
      </w:r>
      <w:r w:rsidR="00374D5B">
        <w:rPr>
          <w:sz w:val="20"/>
          <w:szCs w:val="20"/>
        </w:rPr>
        <w:t>criteri</w:t>
      </w:r>
      <w:r w:rsidR="00C56833">
        <w:rPr>
          <w:sz w:val="20"/>
          <w:szCs w:val="20"/>
        </w:rPr>
        <w:t>on</w:t>
      </w:r>
      <w:r w:rsidRPr="00761122">
        <w:rPr>
          <w:sz w:val="20"/>
          <w:szCs w:val="20"/>
        </w:rPr>
        <w:t>. Policies have taken root; programs have been scaled; systems are sustainable; no major work is needed.</w:t>
      </w:r>
    </w:p>
    <w:p w14:paraId="59352F4E" w14:textId="77777777" w:rsidR="00FE01B1" w:rsidRPr="00761122" w:rsidRDefault="00FE01B1" w:rsidP="00FE01B1">
      <w:pPr>
        <w:pStyle w:val="ListParagraph"/>
        <w:widowControl w:val="0"/>
        <w:autoSpaceDE w:val="0"/>
        <w:autoSpaceDN w:val="0"/>
        <w:adjustRightInd w:val="0"/>
        <w:spacing w:after="0" w:line="264" w:lineRule="auto"/>
        <w:ind w:right="187"/>
        <w:rPr>
          <w:rFonts w:cs="Calibri"/>
          <w:b/>
          <w:sz w:val="20"/>
          <w:szCs w:val="20"/>
        </w:rPr>
      </w:pPr>
    </w:p>
    <w:p w14:paraId="7954B7D7" w14:textId="31B6832E" w:rsidR="000D7AF5" w:rsidRPr="00DA1A9C" w:rsidRDefault="00DA1A9C" w:rsidP="004F131F">
      <w:pPr>
        <w:widowControl w:val="0"/>
        <w:autoSpaceDE w:val="0"/>
        <w:autoSpaceDN w:val="0"/>
        <w:adjustRightInd w:val="0"/>
        <w:spacing w:after="0" w:line="264" w:lineRule="auto"/>
        <w:ind w:right="720"/>
        <w:rPr>
          <w:rFonts w:cs="Calibri"/>
          <w:sz w:val="20"/>
          <w:szCs w:val="20"/>
        </w:rPr>
      </w:pPr>
      <w:r w:rsidRPr="00761122">
        <w:rPr>
          <w:rFonts w:cs="Calibri"/>
          <w:sz w:val="20"/>
          <w:szCs w:val="20"/>
        </w:rPr>
        <w:t>Below the rating scale</w:t>
      </w:r>
      <w:r w:rsidR="00C50713">
        <w:rPr>
          <w:rFonts w:cs="Calibri"/>
          <w:sz w:val="20"/>
          <w:szCs w:val="20"/>
        </w:rPr>
        <w:t xml:space="preserve"> of each section</w:t>
      </w:r>
      <w:r w:rsidRPr="00761122">
        <w:rPr>
          <w:rFonts w:cs="Calibri"/>
          <w:sz w:val="20"/>
          <w:szCs w:val="20"/>
        </w:rPr>
        <w:t xml:space="preserve">, space </w:t>
      </w:r>
      <w:r w:rsidR="00E017F8">
        <w:rPr>
          <w:rFonts w:cs="Calibri"/>
          <w:sz w:val="20"/>
          <w:szCs w:val="20"/>
        </w:rPr>
        <w:t>is</w:t>
      </w:r>
      <w:r w:rsidRPr="00761122">
        <w:rPr>
          <w:rFonts w:cs="Calibri"/>
          <w:sz w:val="20"/>
          <w:szCs w:val="20"/>
        </w:rPr>
        <w:t xml:space="preserve"> provided for </w:t>
      </w:r>
      <w:r>
        <w:rPr>
          <w:rFonts w:cs="Calibri"/>
          <w:sz w:val="20"/>
          <w:szCs w:val="20"/>
        </w:rPr>
        <w:t>partnerships</w:t>
      </w:r>
      <w:r w:rsidRPr="00761122">
        <w:rPr>
          <w:rFonts w:cs="Calibri"/>
          <w:sz w:val="20"/>
          <w:szCs w:val="20"/>
        </w:rPr>
        <w:t xml:space="preserve"> to</w:t>
      </w:r>
      <w:r w:rsidR="00C56833">
        <w:rPr>
          <w:rFonts w:cs="Calibri"/>
          <w:sz w:val="20"/>
          <w:szCs w:val="20"/>
        </w:rPr>
        <w:t xml:space="preserve"> briefly</w:t>
      </w:r>
      <w:r w:rsidRPr="00761122">
        <w:rPr>
          <w:rFonts w:cs="Calibri"/>
          <w:sz w:val="20"/>
          <w:szCs w:val="20"/>
        </w:rPr>
        <w:t xml:space="preserve"> </w:t>
      </w:r>
      <w:r>
        <w:rPr>
          <w:rFonts w:cs="Calibri"/>
          <w:sz w:val="20"/>
          <w:szCs w:val="20"/>
        </w:rPr>
        <w:t xml:space="preserve">describe </w:t>
      </w:r>
      <w:r w:rsidR="00C50713">
        <w:rPr>
          <w:rFonts w:cs="Calibri"/>
          <w:sz w:val="20"/>
          <w:szCs w:val="20"/>
        </w:rPr>
        <w:t>their greatest strengths</w:t>
      </w:r>
      <w:r>
        <w:rPr>
          <w:rFonts w:cs="Calibri"/>
          <w:sz w:val="20"/>
          <w:szCs w:val="20"/>
        </w:rPr>
        <w:t>, key challenges, and</w:t>
      </w:r>
      <w:r w:rsidR="00C50713">
        <w:rPr>
          <w:rFonts w:cs="Calibri"/>
          <w:sz w:val="20"/>
          <w:szCs w:val="20"/>
        </w:rPr>
        <w:t xml:space="preserve"> top priorities for the work across the next four years that will</w:t>
      </w:r>
      <w:r w:rsidR="00B8501B">
        <w:rPr>
          <w:rFonts w:cs="Calibri"/>
          <w:sz w:val="20"/>
          <w:szCs w:val="20"/>
        </w:rPr>
        <w:t xml:space="preserve"> </w:t>
      </w:r>
      <w:r w:rsidR="00C50713">
        <w:rPr>
          <w:rFonts w:cs="Calibri"/>
          <w:sz w:val="20"/>
          <w:szCs w:val="20"/>
        </w:rPr>
        <w:t>be prioritized in action plans.</w:t>
      </w:r>
      <w:r w:rsidR="00662FFD">
        <w:rPr>
          <w:rFonts w:cs="Calibri"/>
          <w:sz w:val="20"/>
          <w:szCs w:val="20"/>
        </w:rPr>
        <w:t xml:space="preserve"> Partnerships can</w:t>
      </w:r>
      <w:r>
        <w:rPr>
          <w:rFonts w:cs="Calibri"/>
          <w:sz w:val="20"/>
          <w:szCs w:val="20"/>
        </w:rPr>
        <w:t xml:space="preserve"> add more pages </w:t>
      </w:r>
      <w:r w:rsidR="00FE01B1">
        <w:rPr>
          <w:rFonts w:cs="Calibri"/>
          <w:sz w:val="20"/>
          <w:szCs w:val="20"/>
        </w:rPr>
        <w:t>if helpful</w:t>
      </w:r>
      <w:r>
        <w:rPr>
          <w:rFonts w:cs="Calibri"/>
          <w:sz w:val="20"/>
          <w:szCs w:val="20"/>
        </w:rPr>
        <w:t xml:space="preserve"> to </w:t>
      </w:r>
      <w:r w:rsidR="00FE01B1">
        <w:rPr>
          <w:rFonts w:cs="Calibri"/>
          <w:sz w:val="20"/>
          <w:szCs w:val="20"/>
        </w:rPr>
        <w:t>expand upon the</w:t>
      </w:r>
      <w:r>
        <w:rPr>
          <w:rFonts w:cs="Calibri"/>
          <w:sz w:val="20"/>
          <w:szCs w:val="20"/>
        </w:rPr>
        <w:t xml:space="preserve"> information</w:t>
      </w:r>
      <w:r w:rsidR="00FE01B1">
        <w:rPr>
          <w:rFonts w:cs="Calibri"/>
          <w:sz w:val="20"/>
          <w:szCs w:val="20"/>
        </w:rPr>
        <w:t xml:space="preserve"> they provide</w:t>
      </w:r>
      <w:r>
        <w:rPr>
          <w:rFonts w:cs="Calibri"/>
          <w:sz w:val="20"/>
          <w:szCs w:val="20"/>
        </w:rPr>
        <w:t xml:space="preserve"> in those categories.  </w:t>
      </w:r>
      <w:r w:rsidR="000D7AF5">
        <w:rPr>
          <w:rFonts w:cs="Calibri"/>
          <w:sz w:val="19"/>
          <w:szCs w:val="19"/>
        </w:rPr>
        <w:br w:type="page"/>
      </w:r>
    </w:p>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840"/>
        <w:gridCol w:w="1038"/>
        <w:gridCol w:w="570"/>
        <w:gridCol w:w="1848"/>
        <w:gridCol w:w="2418"/>
        <w:gridCol w:w="600"/>
        <w:gridCol w:w="1818"/>
        <w:gridCol w:w="213"/>
        <w:gridCol w:w="2835"/>
      </w:tblGrid>
      <w:tr w:rsidR="00150595" w14:paraId="3AD68BD9" w14:textId="77777777" w:rsidTr="00DB2D68">
        <w:tc>
          <w:tcPr>
            <w:tcW w:w="14598" w:type="dxa"/>
            <w:gridSpan w:val="10"/>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21DA7B2" w14:textId="3F39793B" w:rsidR="00840E46" w:rsidRPr="00DB2D68" w:rsidRDefault="008E79A4" w:rsidP="00840E46">
            <w:pPr>
              <w:spacing w:before="40" w:after="40"/>
              <w:jc w:val="center"/>
              <w:rPr>
                <w:b/>
                <w:color w:val="C00000"/>
                <w:sz w:val="20"/>
                <w:szCs w:val="20"/>
                <w:u w:val="single"/>
              </w:rPr>
            </w:pPr>
            <w:r w:rsidRPr="00DB2D68">
              <w:rPr>
                <w:b/>
                <w:color w:val="C00000"/>
                <w:sz w:val="20"/>
                <w:szCs w:val="20"/>
                <w:u w:val="single"/>
              </w:rPr>
              <w:lastRenderedPageBreak/>
              <w:t>Foundational Priority</w:t>
            </w:r>
            <w:r w:rsidR="00840E46" w:rsidRPr="00DB2D68">
              <w:rPr>
                <w:b/>
                <w:color w:val="C00000"/>
                <w:sz w:val="20"/>
                <w:szCs w:val="20"/>
                <w:u w:val="single"/>
              </w:rPr>
              <w:t xml:space="preserve">: </w:t>
            </w:r>
            <w:r w:rsidRPr="00DB2D68">
              <w:rPr>
                <w:b/>
                <w:color w:val="C00000"/>
                <w:sz w:val="20"/>
                <w:szCs w:val="20"/>
                <w:u w:val="single"/>
              </w:rPr>
              <w:t>Cross-Sector Partnerships</w:t>
            </w:r>
          </w:p>
          <w:p w14:paraId="06B7236C" w14:textId="784F1A5F" w:rsidR="00150595" w:rsidRPr="00464514" w:rsidRDefault="00DF724D" w:rsidP="00335DF2">
            <w:pPr>
              <w:spacing w:before="40" w:after="40"/>
              <w:rPr>
                <w:sz w:val="18"/>
                <w:szCs w:val="18"/>
              </w:rPr>
            </w:pPr>
            <w:r w:rsidRPr="00DB2D68">
              <w:rPr>
                <w:color w:val="C00000"/>
                <w:sz w:val="18"/>
                <w:szCs w:val="18"/>
              </w:rPr>
              <w:t xml:space="preserve">Establish </w:t>
            </w:r>
            <w:r w:rsidR="008E79A4" w:rsidRPr="00DB2D68">
              <w:rPr>
                <w:color w:val="C00000"/>
                <w:sz w:val="18"/>
                <w:szCs w:val="18"/>
              </w:rPr>
              <w:t xml:space="preserve">committed, robust partnerships between local school systems, </w:t>
            </w:r>
            <w:r w:rsidR="00497913">
              <w:rPr>
                <w:color w:val="C00000"/>
                <w:sz w:val="18"/>
                <w:szCs w:val="18"/>
              </w:rPr>
              <w:t>postsecondary</w:t>
            </w:r>
            <w:r w:rsidR="008E79A4" w:rsidRPr="00DB2D68">
              <w:rPr>
                <w:color w:val="C00000"/>
                <w:sz w:val="18"/>
                <w:szCs w:val="18"/>
              </w:rPr>
              <w:t xml:space="preserve"> education institutions, intermediary organizations, employers, and state education and workforce development  agencies to increase student completion of </w:t>
            </w:r>
            <w:r w:rsidR="00C04C7E">
              <w:rPr>
                <w:color w:val="C00000"/>
                <w:sz w:val="18"/>
                <w:szCs w:val="18"/>
              </w:rPr>
              <w:t>h</w:t>
            </w:r>
            <w:r w:rsidR="008E79A4" w:rsidRPr="00DB2D68">
              <w:rPr>
                <w:color w:val="C00000"/>
                <w:sz w:val="18"/>
                <w:szCs w:val="18"/>
              </w:rPr>
              <w:t>igh-</w:t>
            </w:r>
            <w:r w:rsidR="00C04C7E">
              <w:rPr>
                <w:color w:val="C00000"/>
                <w:sz w:val="18"/>
                <w:szCs w:val="18"/>
              </w:rPr>
              <w:t>q</w:t>
            </w:r>
            <w:r w:rsidR="008E79A4" w:rsidRPr="00DB2D68">
              <w:rPr>
                <w:color w:val="C00000"/>
                <w:sz w:val="18"/>
                <w:szCs w:val="18"/>
              </w:rPr>
              <w:t xml:space="preserve">uality </w:t>
            </w:r>
            <w:r w:rsidR="00C04C7E">
              <w:rPr>
                <w:color w:val="C00000"/>
                <w:sz w:val="18"/>
                <w:szCs w:val="18"/>
              </w:rPr>
              <w:t>c</w:t>
            </w:r>
            <w:r w:rsidR="008E79A4" w:rsidRPr="00DB2D68">
              <w:rPr>
                <w:color w:val="C00000"/>
                <w:sz w:val="18"/>
                <w:szCs w:val="18"/>
              </w:rPr>
              <w:t xml:space="preserve">areer </w:t>
            </w:r>
            <w:r w:rsidR="00C04C7E">
              <w:rPr>
                <w:color w:val="C00000"/>
                <w:sz w:val="18"/>
                <w:szCs w:val="18"/>
              </w:rPr>
              <w:t>p</w:t>
            </w:r>
            <w:r w:rsidR="008E79A4" w:rsidRPr="00DB2D68">
              <w:rPr>
                <w:color w:val="C00000"/>
                <w:sz w:val="18"/>
                <w:szCs w:val="18"/>
              </w:rPr>
              <w:t xml:space="preserve">athways through </w:t>
            </w:r>
            <w:r w:rsidR="00F3553D" w:rsidRPr="00DB2D68">
              <w:rPr>
                <w:color w:val="C00000"/>
                <w:sz w:val="18"/>
                <w:szCs w:val="18"/>
              </w:rPr>
              <w:t xml:space="preserve">local innovation and practice change as well as state-level policy to promote economic mobility for populations of underrepresented students. </w:t>
            </w:r>
          </w:p>
        </w:tc>
      </w:tr>
      <w:tr w:rsidR="00EC7C73" w14:paraId="0632D059" w14:textId="77777777" w:rsidTr="00462EC2">
        <w:tc>
          <w:tcPr>
            <w:tcW w:w="2418" w:type="dxa"/>
            <w:tcBorders>
              <w:top w:val="single" w:sz="8" w:space="0" w:color="auto"/>
            </w:tcBorders>
            <w:shd w:val="clear" w:color="auto" w:fill="auto"/>
          </w:tcPr>
          <w:p w14:paraId="53BFE4B7" w14:textId="77777777" w:rsidR="00EC7C73" w:rsidRPr="00462EC2" w:rsidRDefault="00EC7C73" w:rsidP="001F4170">
            <w:pPr>
              <w:jc w:val="center"/>
              <w:rPr>
                <w:b/>
                <w:sz w:val="12"/>
                <w:szCs w:val="12"/>
                <w:u w:val="single"/>
              </w:rPr>
            </w:pPr>
          </w:p>
        </w:tc>
        <w:tc>
          <w:tcPr>
            <w:tcW w:w="1878" w:type="dxa"/>
            <w:gridSpan w:val="2"/>
            <w:tcBorders>
              <w:top w:val="single" w:sz="8" w:space="0" w:color="auto"/>
            </w:tcBorders>
            <w:shd w:val="clear" w:color="auto" w:fill="auto"/>
          </w:tcPr>
          <w:p w14:paraId="03B61501" w14:textId="77777777" w:rsidR="00EC7C73" w:rsidRPr="00462EC2" w:rsidRDefault="00EC7C73" w:rsidP="001F4170">
            <w:pPr>
              <w:jc w:val="center"/>
              <w:rPr>
                <w:b/>
                <w:sz w:val="12"/>
                <w:szCs w:val="12"/>
                <w:u w:val="single"/>
              </w:rPr>
            </w:pPr>
          </w:p>
        </w:tc>
        <w:tc>
          <w:tcPr>
            <w:tcW w:w="2418" w:type="dxa"/>
            <w:gridSpan w:val="2"/>
            <w:tcBorders>
              <w:top w:val="single" w:sz="8" w:space="0" w:color="auto"/>
            </w:tcBorders>
            <w:shd w:val="clear" w:color="auto" w:fill="auto"/>
          </w:tcPr>
          <w:p w14:paraId="7B5076A4" w14:textId="77777777" w:rsidR="00EC7C73" w:rsidRPr="00462EC2" w:rsidRDefault="00EC7C73" w:rsidP="001F4170">
            <w:pPr>
              <w:jc w:val="center"/>
              <w:rPr>
                <w:b/>
                <w:sz w:val="12"/>
                <w:szCs w:val="12"/>
                <w:u w:val="single"/>
              </w:rPr>
            </w:pPr>
          </w:p>
        </w:tc>
        <w:tc>
          <w:tcPr>
            <w:tcW w:w="2418" w:type="dxa"/>
            <w:tcBorders>
              <w:top w:val="single" w:sz="8" w:space="0" w:color="auto"/>
            </w:tcBorders>
            <w:shd w:val="clear" w:color="auto" w:fill="auto"/>
          </w:tcPr>
          <w:p w14:paraId="58E46305" w14:textId="77777777" w:rsidR="00EC7C73" w:rsidRPr="00462EC2" w:rsidRDefault="00EC7C73" w:rsidP="001F4170">
            <w:pPr>
              <w:jc w:val="center"/>
              <w:rPr>
                <w:b/>
                <w:sz w:val="12"/>
                <w:szCs w:val="12"/>
                <w:u w:val="single"/>
              </w:rPr>
            </w:pPr>
          </w:p>
        </w:tc>
        <w:tc>
          <w:tcPr>
            <w:tcW w:w="2418" w:type="dxa"/>
            <w:gridSpan w:val="2"/>
            <w:tcBorders>
              <w:top w:val="single" w:sz="8" w:space="0" w:color="auto"/>
            </w:tcBorders>
            <w:shd w:val="clear" w:color="auto" w:fill="auto"/>
          </w:tcPr>
          <w:p w14:paraId="4CB790F4" w14:textId="77777777" w:rsidR="00EC7C73" w:rsidRPr="00462EC2" w:rsidRDefault="00EC7C73" w:rsidP="001F4170">
            <w:pPr>
              <w:jc w:val="center"/>
              <w:rPr>
                <w:b/>
                <w:sz w:val="12"/>
                <w:szCs w:val="12"/>
                <w:u w:val="single"/>
              </w:rPr>
            </w:pPr>
          </w:p>
        </w:tc>
        <w:tc>
          <w:tcPr>
            <w:tcW w:w="3048" w:type="dxa"/>
            <w:gridSpan w:val="2"/>
            <w:tcBorders>
              <w:top w:val="single" w:sz="8" w:space="0" w:color="auto"/>
            </w:tcBorders>
            <w:shd w:val="clear" w:color="auto" w:fill="auto"/>
          </w:tcPr>
          <w:p w14:paraId="3940CE30" w14:textId="77777777" w:rsidR="00EC7C73" w:rsidRPr="00462EC2" w:rsidRDefault="00EC7C73" w:rsidP="001F4170">
            <w:pPr>
              <w:jc w:val="center"/>
              <w:rPr>
                <w:b/>
                <w:sz w:val="12"/>
                <w:szCs w:val="12"/>
                <w:u w:val="single"/>
              </w:rPr>
            </w:pPr>
          </w:p>
        </w:tc>
      </w:tr>
      <w:tr w:rsidR="002D3E0F" w14:paraId="52F90DA1" w14:textId="77777777" w:rsidTr="00765264">
        <w:tc>
          <w:tcPr>
            <w:tcW w:w="325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3824D91C" w14:textId="77DF0786" w:rsidR="002D3E0F" w:rsidRPr="00FB7344" w:rsidRDefault="002D3E0F" w:rsidP="00364C8A">
            <w:pPr>
              <w:spacing w:before="40" w:after="40"/>
              <w:jc w:val="center"/>
              <w:rPr>
                <w:b/>
                <w:sz w:val="20"/>
                <w:szCs w:val="20"/>
              </w:rPr>
            </w:pPr>
            <w:r w:rsidRPr="00FB7344">
              <w:rPr>
                <w:b/>
                <w:sz w:val="20"/>
                <w:szCs w:val="20"/>
              </w:rPr>
              <w:t>Target Outcomes</w:t>
            </w:r>
          </w:p>
        </w:tc>
        <w:tc>
          <w:tcPr>
            <w:tcW w:w="8505"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78A9E235" w14:textId="4FAF1B74" w:rsidR="002D3E0F" w:rsidRPr="00FB7344" w:rsidRDefault="002D3E0F" w:rsidP="00364C8A">
            <w:pPr>
              <w:spacing w:before="40" w:after="40"/>
              <w:jc w:val="center"/>
              <w:rPr>
                <w:b/>
                <w:sz w:val="20"/>
                <w:szCs w:val="20"/>
              </w:rPr>
            </w:pPr>
            <w:r w:rsidRPr="00FB7344">
              <w:rPr>
                <w:b/>
                <w:sz w:val="20"/>
                <w:szCs w:val="20"/>
              </w:rPr>
              <w:t>Supporting Criteria</w:t>
            </w:r>
          </w:p>
        </w:tc>
        <w:tc>
          <w:tcPr>
            <w:tcW w:w="2835" w:type="dxa"/>
            <w:tcBorders>
              <w:top w:val="single" w:sz="8" w:space="0" w:color="auto"/>
              <w:left w:val="single" w:sz="8" w:space="0" w:color="auto"/>
              <w:bottom w:val="single" w:sz="8" w:space="0" w:color="auto"/>
              <w:right w:val="single" w:sz="8" w:space="0" w:color="auto"/>
            </w:tcBorders>
            <w:shd w:val="clear" w:color="auto" w:fill="EEECE1" w:themeFill="background2"/>
          </w:tcPr>
          <w:p w14:paraId="2857FFB2" w14:textId="4D5968C7" w:rsidR="002D3E0F" w:rsidRPr="00FB7344" w:rsidRDefault="002D3E0F" w:rsidP="002D3E0F">
            <w:pPr>
              <w:spacing w:before="40" w:after="40"/>
              <w:jc w:val="center"/>
              <w:rPr>
                <w:b/>
                <w:bCs/>
                <w:sz w:val="20"/>
                <w:szCs w:val="20"/>
              </w:rPr>
            </w:pPr>
            <w:r w:rsidRPr="00FB7344">
              <w:rPr>
                <w:b/>
                <w:bCs/>
                <w:sz w:val="20"/>
                <w:szCs w:val="20"/>
              </w:rPr>
              <w:t>Current Status</w:t>
            </w:r>
          </w:p>
        </w:tc>
      </w:tr>
      <w:tr w:rsidR="00765264" w14:paraId="7070E129" w14:textId="77777777" w:rsidTr="00765264">
        <w:tc>
          <w:tcPr>
            <w:tcW w:w="3258" w:type="dxa"/>
            <w:gridSpan w:val="2"/>
            <w:vMerge w:val="restart"/>
            <w:tcBorders>
              <w:top w:val="single" w:sz="8" w:space="0" w:color="auto"/>
              <w:left w:val="single" w:sz="8" w:space="0" w:color="auto"/>
              <w:right w:val="single" w:sz="8" w:space="0" w:color="auto"/>
            </w:tcBorders>
            <w:shd w:val="clear" w:color="auto" w:fill="EEECE1" w:themeFill="background2"/>
          </w:tcPr>
          <w:p w14:paraId="571A4DE3" w14:textId="116BD7B4" w:rsidR="00765264" w:rsidRDefault="00765264" w:rsidP="002D3E0F">
            <w:pPr>
              <w:ind w:left="360" w:hanging="360"/>
              <w:rPr>
                <w:sz w:val="18"/>
                <w:szCs w:val="18"/>
              </w:rPr>
            </w:pPr>
            <w:r>
              <w:rPr>
                <w:sz w:val="18"/>
                <w:szCs w:val="18"/>
              </w:rPr>
              <w:t>FP1</w:t>
            </w:r>
            <w:r w:rsidRPr="00462EC2">
              <w:rPr>
                <w:sz w:val="18"/>
                <w:szCs w:val="18"/>
              </w:rPr>
              <w:t xml:space="preserve">. </w:t>
            </w:r>
            <w:r w:rsidRPr="00C81734">
              <w:rPr>
                <w:b/>
                <w:bCs/>
                <w:sz w:val="18"/>
                <w:szCs w:val="18"/>
              </w:rPr>
              <w:t>Shared Vision of Success</w:t>
            </w:r>
            <w:r w:rsidRPr="00462EC2">
              <w:rPr>
                <w:b/>
                <w:sz w:val="18"/>
                <w:szCs w:val="18"/>
              </w:rPr>
              <w:t xml:space="preserve">: </w:t>
            </w:r>
            <w:r>
              <w:rPr>
                <w:bCs/>
                <w:sz w:val="18"/>
                <w:szCs w:val="18"/>
              </w:rPr>
              <w:t>GCRI cross-sector partners have a shared vision of designing, building, and supporting a career preparation system that is tightly aligned with current and projected labor market needs within the region’s in-demand, high-skill, family-sustaining wage industry sectors.</w:t>
            </w:r>
          </w:p>
        </w:tc>
        <w:tc>
          <w:tcPr>
            <w:tcW w:w="8505" w:type="dxa"/>
            <w:gridSpan w:val="7"/>
            <w:tcBorders>
              <w:top w:val="single" w:sz="8" w:space="0" w:color="auto"/>
              <w:left w:val="single" w:sz="8" w:space="0" w:color="auto"/>
              <w:right w:val="single" w:sz="8" w:space="0" w:color="auto"/>
            </w:tcBorders>
            <w:shd w:val="clear" w:color="auto" w:fill="EEECE1" w:themeFill="background2"/>
          </w:tcPr>
          <w:p w14:paraId="272AD489" w14:textId="0FEEB0A9" w:rsidR="00765264" w:rsidRPr="00765264" w:rsidRDefault="00765264" w:rsidP="002D3E0F">
            <w:pPr>
              <w:rPr>
                <w:b/>
                <w:sz w:val="20"/>
                <w:szCs w:val="18"/>
              </w:rPr>
            </w:pPr>
            <w:r w:rsidRPr="002D3E0F">
              <w:rPr>
                <w:b/>
                <w:sz w:val="20"/>
                <w:szCs w:val="18"/>
              </w:rPr>
              <w:t>Target outcome FP1: Establishing a shared vision of success</w:t>
            </w:r>
          </w:p>
        </w:tc>
        <w:tc>
          <w:tcPr>
            <w:tcW w:w="2835" w:type="dxa"/>
            <w:tcBorders>
              <w:top w:val="single" w:sz="8" w:space="0" w:color="auto"/>
              <w:left w:val="single" w:sz="8" w:space="0" w:color="auto"/>
              <w:right w:val="single" w:sz="8" w:space="0" w:color="auto"/>
            </w:tcBorders>
            <w:shd w:val="clear" w:color="auto" w:fill="EEECE1" w:themeFill="background2"/>
          </w:tcPr>
          <w:p w14:paraId="312841CB" w14:textId="77777777" w:rsidR="00765264" w:rsidRDefault="00765264" w:rsidP="002D3E0F">
            <w:pPr>
              <w:spacing w:before="40" w:after="40"/>
              <w:rPr>
                <w:b/>
                <w:bCs/>
                <w:sz w:val="18"/>
                <w:szCs w:val="18"/>
                <w:u w:val="single"/>
              </w:rPr>
            </w:pPr>
          </w:p>
        </w:tc>
      </w:tr>
      <w:tr w:rsidR="00765264" w14:paraId="1B99422F" w14:textId="77777777" w:rsidTr="00765264">
        <w:trPr>
          <w:trHeight w:val="1654"/>
        </w:trPr>
        <w:tc>
          <w:tcPr>
            <w:tcW w:w="3258" w:type="dxa"/>
            <w:gridSpan w:val="2"/>
            <w:vMerge/>
            <w:tcBorders>
              <w:left w:val="single" w:sz="8" w:space="0" w:color="auto"/>
              <w:right w:val="single" w:sz="8" w:space="0" w:color="auto"/>
            </w:tcBorders>
            <w:shd w:val="clear" w:color="auto" w:fill="EEECE1" w:themeFill="background2"/>
          </w:tcPr>
          <w:p w14:paraId="3CEAF3C6" w14:textId="77777777" w:rsidR="00765264" w:rsidRDefault="00765264" w:rsidP="002D3E0F">
            <w:pPr>
              <w:ind w:left="360" w:hanging="360"/>
              <w:rPr>
                <w:sz w:val="18"/>
                <w:szCs w:val="18"/>
              </w:rPr>
            </w:pPr>
          </w:p>
        </w:tc>
        <w:tc>
          <w:tcPr>
            <w:tcW w:w="8505" w:type="dxa"/>
            <w:gridSpan w:val="7"/>
            <w:tcBorders>
              <w:left w:val="single" w:sz="8" w:space="0" w:color="auto"/>
              <w:right w:val="single" w:sz="8" w:space="0" w:color="auto"/>
            </w:tcBorders>
            <w:shd w:val="clear" w:color="auto" w:fill="EEECE1" w:themeFill="background2"/>
          </w:tcPr>
          <w:p w14:paraId="1C96D95C" w14:textId="33027810" w:rsidR="00765264" w:rsidRPr="00765264" w:rsidRDefault="00765264" w:rsidP="00A44D7D">
            <w:pPr>
              <w:pStyle w:val="ListParagraph"/>
              <w:numPr>
                <w:ilvl w:val="0"/>
                <w:numId w:val="7"/>
              </w:numPr>
              <w:ind w:left="316"/>
              <w:rPr>
                <w:b/>
                <w:sz w:val="20"/>
                <w:szCs w:val="20"/>
              </w:rPr>
            </w:pPr>
            <w:r w:rsidRPr="00765264">
              <w:rPr>
                <w:bCs/>
                <w:sz w:val="18"/>
                <w:szCs w:val="18"/>
              </w:rPr>
              <w:t xml:space="preserve">GCRI partner organizations have collaboratively defined a shared vision for their work, including specific goals and objectives and a common understanding of what success will look like at the conclusion of the 5-year grant period. The shared vision, goals, objectives and definition of success encompasses demand-driven career pathways that begin in high school, continue into and through </w:t>
            </w:r>
            <w:r w:rsidR="00497913">
              <w:rPr>
                <w:bCs/>
                <w:sz w:val="18"/>
                <w:szCs w:val="18"/>
              </w:rPr>
              <w:t>postsecondary</w:t>
            </w:r>
            <w:r w:rsidRPr="00765264">
              <w:rPr>
                <w:bCs/>
                <w:sz w:val="18"/>
                <w:szCs w:val="18"/>
              </w:rPr>
              <w:t xml:space="preserve"> education, include industry-aligned work-based learning experiences and early postsecondary opportunities, culminate in the opportunity to earn a high-value credential, and equitably prepare students for continued education and training.</w:t>
            </w:r>
          </w:p>
        </w:tc>
        <w:tc>
          <w:tcPr>
            <w:tcW w:w="2835" w:type="dxa"/>
            <w:tcBorders>
              <w:left w:val="single" w:sz="8" w:space="0" w:color="auto"/>
              <w:right w:val="single" w:sz="8" w:space="0" w:color="auto"/>
            </w:tcBorders>
            <w:shd w:val="clear" w:color="auto" w:fill="EEECE1" w:themeFill="background2"/>
          </w:tcPr>
          <w:tbl>
            <w:tblPr>
              <w:tblStyle w:val="TableGrid"/>
              <w:tblW w:w="0" w:type="auto"/>
              <w:tblLook w:val="04A0" w:firstRow="1" w:lastRow="0" w:firstColumn="1" w:lastColumn="0" w:noHBand="0" w:noVBand="1"/>
            </w:tblPr>
            <w:tblGrid>
              <w:gridCol w:w="652"/>
              <w:gridCol w:w="652"/>
              <w:gridCol w:w="652"/>
              <w:gridCol w:w="653"/>
            </w:tblGrid>
            <w:tr w:rsidR="00765264" w14:paraId="0F878343" w14:textId="77777777" w:rsidTr="00765264">
              <w:tc>
                <w:tcPr>
                  <w:tcW w:w="652" w:type="dxa"/>
                  <w:tcBorders>
                    <w:top w:val="nil"/>
                    <w:left w:val="nil"/>
                    <w:bottom w:val="single" w:sz="4" w:space="0" w:color="auto"/>
                    <w:right w:val="nil"/>
                  </w:tcBorders>
                </w:tcPr>
                <w:p w14:paraId="6332BE48" w14:textId="77777777" w:rsidR="00765264" w:rsidRPr="00ED64CA" w:rsidRDefault="008530DA" w:rsidP="00765264">
                  <w:pPr>
                    <w:spacing w:before="40" w:after="40"/>
                    <w:jc w:val="center"/>
                    <w:rPr>
                      <w:b/>
                      <w:bCs/>
                      <w:sz w:val="20"/>
                      <w:szCs w:val="20"/>
                    </w:rPr>
                  </w:pPr>
                  <w:sdt>
                    <w:sdtPr>
                      <w:rPr>
                        <w:b/>
                        <w:bCs/>
                        <w:sz w:val="20"/>
                        <w:szCs w:val="20"/>
                      </w:rPr>
                      <w:id w:val="-1162919853"/>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Borders>
                    <w:top w:val="nil"/>
                    <w:left w:val="nil"/>
                    <w:bottom w:val="single" w:sz="4" w:space="0" w:color="auto"/>
                    <w:right w:val="nil"/>
                  </w:tcBorders>
                </w:tcPr>
                <w:p w14:paraId="2CBACC9D" w14:textId="77777777" w:rsidR="00765264" w:rsidRPr="00ED64CA" w:rsidRDefault="008530DA" w:rsidP="00765264">
                  <w:pPr>
                    <w:spacing w:before="40" w:after="40"/>
                    <w:jc w:val="center"/>
                    <w:rPr>
                      <w:b/>
                      <w:bCs/>
                      <w:sz w:val="20"/>
                      <w:szCs w:val="20"/>
                    </w:rPr>
                  </w:pPr>
                  <w:sdt>
                    <w:sdtPr>
                      <w:rPr>
                        <w:b/>
                        <w:bCs/>
                        <w:sz w:val="20"/>
                        <w:szCs w:val="20"/>
                      </w:rPr>
                      <w:id w:val="-479155766"/>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Borders>
                    <w:top w:val="nil"/>
                    <w:left w:val="nil"/>
                    <w:bottom w:val="single" w:sz="4" w:space="0" w:color="auto"/>
                    <w:right w:val="nil"/>
                  </w:tcBorders>
                </w:tcPr>
                <w:p w14:paraId="15487190" w14:textId="77777777" w:rsidR="00765264" w:rsidRPr="00ED64CA" w:rsidRDefault="008530DA" w:rsidP="00765264">
                  <w:pPr>
                    <w:spacing w:before="40" w:after="40"/>
                    <w:jc w:val="center"/>
                    <w:rPr>
                      <w:b/>
                      <w:bCs/>
                      <w:sz w:val="20"/>
                      <w:szCs w:val="20"/>
                    </w:rPr>
                  </w:pPr>
                  <w:sdt>
                    <w:sdtPr>
                      <w:rPr>
                        <w:b/>
                        <w:bCs/>
                        <w:sz w:val="20"/>
                        <w:szCs w:val="20"/>
                      </w:rPr>
                      <w:id w:val="-278330109"/>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Borders>
                    <w:top w:val="nil"/>
                    <w:left w:val="nil"/>
                    <w:bottom w:val="single" w:sz="4" w:space="0" w:color="auto"/>
                    <w:right w:val="nil"/>
                  </w:tcBorders>
                </w:tcPr>
                <w:p w14:paraId="17396294" w14:textId="77777777" w:rsidR="00765264" w:rsidRPr="00ED64CA" w:rsidRDefault="008530DA" w:rsidP="00765264">
                  <w:pPr>
                    <w:spacing w:before="40" w:after="40"/>
                    <w:jc w:val="center"/>
                    <w:rPr>
                      <w:b/>
                      <w:bCs/>
                      <w:sz w:val="20"/>
                      <w:szCs w:val="20"/>
                    </w:rPr>
                  </w:pPr>
                  <w:sdt>
                    <w:sdtPr>
                      <w:rPr>
                        <w:b/>
                        <w:bCs/>
                        <w:sz w:val="20"/>
                        <w:szCs w:val="20"/>
                      </w:rPr>
                      <w:id w:val="1171293529"/>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r w:rsidR="00765264" w14:paraId="4DE158DB" w14:textId="77777777" w:rsidTr="00765264">
              <w:tc>
                <w:tcPr>
                  <w:tcW w:w="2609" w:type="dxa"/>
                  <w:gridSpan w:val="4"/>
                  <w:tcBorders>
                    <w:top w:val="single" w:sz="4" w:space="0" w:color="auto"/>
                    <w:left w:val="nil"/>
                    <w:bottom w:val="nil"/>
                    <w:right w:val="nil"/>
                  </w:tcBorders>
                </w:tcPr>
                <w:p w14:paraId="5CC35D5B" w14:textId="77777777" w:rsidR="00765264" w:rsidRPr="00866068" w:rsidRDefault="00765264" w:rsidP="00765264">
                  <w:pPr>
                    <w:ind w:left="433"/>
                    <w:rPr>
                      <w:rFonts w:eastAsia="MS Gothic" w:cstheme="minorHAnsi"/>
                      <w:b/>
                      <w:bCs/>
                      <w:sz w:val="18"/>
                      <w:szCs w:val="18"/>
                    </w:rPr>
                  </w:pPr>
                  <w:r w:rsidRPr="00866068">
                    <w:rPr>
                      <w:rFonts w:eastAsia="MS Gothic" w:cstheme="minorHAnsi"/>
                      <w:b/>
                      <w:bCs/>
                      <w:sz w:val="18"/>
                      <w:szCs w:val="18"/>
                    </w:rPr>
                    <w:t>1 = Limited Progress</w:t>
                  </w:r>
                </w:p>
              </w:tc>
            </w:tr>
            <w:tr w:rsidR="00765264" w14:paraId="6C7FE2CC" w14:textId="77777777" w:rsidTr="00765264">
              <w:tc>
                <w:tcPr>
                  <w:tcW w:w="2609" w:type="dxa"/>
                  <w:gridSpan w:val="4"/>
                  <w:tcBorders>
                    <w:top w:val="nil"/>
                    <w:left w:val="nil"/>
                    <w:bottom w:val="nil"/>
                    <w:right w:val="nil"/>
                  </w:tcBorders>
                </w:tcPr>
                <w:p w14:paraId="591A9982" w14:textId="77777777" w:rsidR="00765264" w:rsidRPr="00866068" w:rsidRDefault="00765264" w:rsidP="00765264">
                  <w:pPr>
                    <w:ind w:left="433"/>
                    <w:rPr>
                      <w:rFonts w:eastAsia="MS Gothic" w:cstheme="minorHAnsi"/>
                      <w:b/>
                      <w:bCs/>
                      <w:sz w:val="18"/>
                      <w:szCs w:val="18"/>
                    </w:rPr>
                  </w:pPr>
                  <w:r w:rsidRPr="00866068">
                    <w:rPr>
                      <w:rFonts w:eastAsia="MS Gothic" w:cstheme="minorHAnsi"/>
                      <w:b/>
                      <w:bCs/>
                      <w:sz w:val="18"/>
                      <w:szCs w:val="18"/>
                    </w:rPr>
                    <w:t>2 = Emerging Practice</w:t>
                  </w:r>
                </w:p>
              </w:tc>
            </w:tr>
            <w:tr w:rsidR="00765264" w14:paraId="2512C1E7" w14:textId="77777777" w:rsidTr="00765264">
              <w:tc>
                <w:tcPr>
                  <w:tcW w:w="2609" w:type="dxa"/>
                  <w:gridSpan w:val="4"/>
                  <w:tcBorders>
                    <w:top w:val="nil"/>
                    <w:left w:val="nil"/>
                    <w:bottom w:val="nil"/>
                    <w:right w:val="nil"/>
                  </w:tcBorders>
                </w:tcPr>
                <w:p w14:paraId="012C8C65" w14:textId="77777777" w:rsidR="00765264" w:rsidRPr="00866068" w:rsidRDefault="00765264" w:rsidP="00765264">
                  <w:pPr>
                    <w:ind w:left="433"/>
                    <w:rPr>
                      <w:rFonts w:eastAsia="MS Gothic" w:cstheme="minorHAnsi"/>
                      <w:b/>
                      <w:bCs/>
                      <w:sz w:val="18"/>
                      <w:szCs w:val="18"/>
                    </w:rPr>
                  </w:pPr>
                  <w:r w:rsidRPr="00866068">
                    <w:rPr>
                      <w:rFonts w:eastAsia="MS Gothic" w:cstheme="minorHAnsi"/>
                      <w:b/>
                      <w:bCs/>
                      <w:sz w:val="18"/>
                      <w:szCs w:val="18"/>
                    </w:rPr>
                    <w:t>3 = Established Practice</w:t>
                  </w:r>
                </w:p>
              </w:tc>
            </w:tr>
            <w:tr w:rsidR="00765264" w14:paraId="79E4182C" w14:textId="77777777" w:rsidTr="00765264">
              <w:tc>
                <w:tcPr>
                  <w:tcW w:w="2609" w:type="dxa"/>
                  <w:gridSpan w:val="4"/>
                  <w:tcBorders>
                    <w:top w:val="nil"/>
                    <w:left w:val="nil"/>
                    <w:bottom w:val="nil"/>
                    <w:right w:val="nil"/>
                  </w:tcBorders>
                </w:tcPr>
                <w:p w14:paraId="5BA59222" w14:textId="77777777" w:rsidR="00765264" w:rsidRPr="00866068" w:rsidRDefault="00765264" w:rsidP="00765264">
                  <w:pPr>
                    <w:ind w:left="433"/>
                    <w:rPr>
                      <w:rFonts w:eastAsia="MS Gothic" w:cstheme="minorHAnsi"/>
                      <w:b/>
                      <w:bCs/>
                      <w:sz w:val="18"/>
                      <w:szCs w:val="18"/>
                    </w:rPr>
                  </w:pPr>
                  <w:r w:rsidRPr="00866068">
                    <w:rPr>
                      <w:rFonts w:eastAsia="MS Gothic" w:cstheme="minorHAnsi"/>
                      <w:b/>
                      <w:bCs/>
                      <w:sz w:val="18"/>
                      <w:szCs w:val="18"/>
                    </w:rPr>
                    <w:t>4 = Sustained Practice</w:t>
                  </w:r>
                </w:p>
              </w:tc>
            </w:tr>
          </w:tbl>
          <w:p w14:paraId="621D5D82" w14:textId="77777777" w:rsidR="00765264" w:rsidRDefault="00765264" w:rsidP="002D3E0F">
            <w:pPr>
              <w:spacing w:before="40" w:after="40"/>
              <w:rPr>
                <w:b/>
                <w:bCs/>
                <w:sz w:val="18"/>
                <w:szCs w:val="18"/>
                <w:u w:val="single"/>
              </w:rPr>
            </w:pPr>
          </w:p>
        </w:tc>
      </w:tr>
      <w:tr w:rsidR="00765264" w14:paraId="5F4FADCE" w14:textId="77777777" w:rsidTr="00765264">
        <w:trPr>
          <w:trHeight w:val="781"/>
        </w:trPr>
        <w:tc>
          <w:tcPr>
            <w:tcW w:w="3258" w:type="dxa"/>
            <w:gridSpan w:val="2"/>
            <w:vMerge/>
            <w:tcBorders>
              <w:left w:val="single" w:sz="8" w:space="0" w:color="auto"/>
              <w:right w:val="single" w:sz="8" w:space="0" w:color="auto"/>
            </w:tcBorders>
            <w:shd w:val="clear" w:color="auto" w:fill="EEECE1" w:themeFill="background2"/>
          </w:tcPr>
          <w:p w14:paraId="587A72B6" w14:textId="77777777" w:rsidR="00765264" w:rsidRDefault="00765264" w:rsidP="002D3E0F">
            <w:pPr>
              <w:ind w:left="360" w:hanging="360"/>
              <w:rPr>
                <w:sz w:val="18"/>
                <w:szCs w:val="18"/>
              </w:rPr>
            </w:pPr>
          </w:p>
        </w:tc>
        <w:tc>
          <w:tcPr>
            <w:tcW w:w="8505" w:type="dxa"/>
            <w:gridSpan w:val="7"/>
            <w:tcBorders>
              <w:left w:val="single" w:sz="8" w:space="0" w:color="auto"/>
              <w:right w:val="single" w:sz="8" w:space="0" w:color="auto"/>
            </w:tcBorders>
            <w:shd w:val="clear" w:color="auto" w:fill="EEECE1" w:themeFill="background2"/>
          </w:tcPr>
          <w:p w14:paraId="6C8F9A10" w14:textId="1E47EC08" w:rsidR="00765264" w:rsidRPr="00765264" w:rsidRDefault="00765264" w:rsidP="00A44D7D">
            <w:pPr>
              <w:pStyle w:val="ListParagraph"/>
              <w:numPr>
                <w:ilvl w:val="0"/>
                <w:numId w:val="7"/>
              </w:numPr>
              <w:ind w:left="316"/>
              <w:rPr>
                <w:b/>
                <w:sz w:val="20"/>
                <w:szCs w:val="20"/>
              </w:rPr>
            </w:pPr>
            <w:r w:rsidRPr="00765264">
              <w:rPr>
                <w:bCs/>
                <w:sz w:val="18"/>
                <w:szCs w:val="18"/>
              </w:rPr>
              <w:t>That shared vision of success is intentionally aligned with</w:t>
            </w:r>
            <w:r w:rsidR="005C578A">
              <w:rPr>
                <w:bCs/>
                <w:sz w:val="18"/>
                <w:szCs w:val="18"/>
              </w:rPr>
              <w:t xml:space="preserve"> economic recovery strategies and other</w:t>
            </w:r>
            <w:r w:rsidRPr="00765264">
              <w:rPr>
                <w:bCs/>
                <w:sz w:val="18"/>
                <w:szCs w:val="18"/>
              </w:rPr>
              <w:t xml:space="preserve"> major priorities of each partnering organization, such as helping more students graduate high school ready for career and college and increasing postsecondary retention and credential attainment.</w:t>
            </w:r>
          </w:p>
        </w:tc>
        <w:tc>
          <w:tcPr>
            <w:tcW w:w="2835" w:type="dxa"/>
            <w:tcBorders>
              <w:left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1159606E" w14:textId="77777777" w:rsidTr="00765264">
              <w:tc>
                <w:tcPr>
                  <w:tcW w:w="652" w:type="dxa"/>
                </w:tcPr>
                <w:p w14:paraId="17A82F99" w14:textId="2DAAAF12" w:rsidR="00765264" w:rsidRPr="00ED64CA" w:rsidRDefault="008530DA" w:rsidP="00765264">
                  <w:pPr>
                    <w:spacing w:before="40" w:after="40"/>
                    <w:jc w:val="center"/>
                    <w:rPr>
                      <w:b/>
                      <w:bCs/>
                      <w:sz w:val="20"/>
                      <w:szCs w:val="20"/>
                    </w:rPr>
                  </w:pPr>
                  <w:sdt>
                    <w:sdtPr>
                      <w:rPr>
                        <w:b/>
                        <w:bCs/>
                        <w:sz w:val="20"/>
                        <w:szCs w:val="20"/>
                      </w:rPr>
                      <w:id w:val="682179738"/>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2A36BD20" w14:textId="77777777" w:rsidR="00765264" w:rsidRPr="00ED64CA" w:rsidRDefault="008530DA" w:rsidP="00765264">
                  <w:pPr>
                    <w:spacing w:before="40" w:after="40"/>
                    <w:jc w:val="center"/>
                    <w:rPr>
                      <w:b/>
                      <w:bCs/>
                      <w:sz w:val="20"/>
                      <w:szCs w:val="20"/>
                    </w:rPr>
                  </w:pPr>
                  <w:sdt>
                    <w:sdtPr>
                      <w:rPr>
                        <w:b/>
                        <w:bCs/>
                        <w:sz w:val="20"/>
                        <w:szCs w:val="20"/>
                      </w:rPr>
                      <w:id w:val="1097518890"/>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1102457A" w14:textId="77777777" w:rsidR="00765264" w:rsidRPr="00ED64CA" w:rsidRDefault="008530DA" w:rsidP="00765264">
                  <w:pPr>
                    <w:spacing w:before="40" w:after="40"/>
                    <w:jc w:val="center"/>
                    <w:rPr>
                      <w:b/>
                      <w:bCs/>
                      <w:sz w:val="20"/>
                      <w:szCs w:val="20"/>
                    </w:rPr>
                  </w:pPr>
                  <w:sdt>
                    <w:sdtPr>
                      <w:rPr>
                        <w:b/>
                        <w:bCs/>
                        <w:sz w:val="20"/>
                        <w:szCs w:val="20"/>
                      </w:rPr>
                      <w:id w:val="-576599043"/>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1F300C6C" w14:textId="77777777" w:rsidR="00765264" w:rsidRPr="00ED64CA" w:rsidRDefault="008530DA" w:rsidP="00765264">
                  <w:pPr>
                    <w:spacing w:before="40" w:after="40"/>
                    <w:jc w:val="center"/>
                    <w:rPr>
                      <w:b/>
                      <w:bCs/>
                      <w:sz w:val="20"/>
                      <w:szCs w:val="20"/>
                    </w:rPr>
                  </w:pPr>
                  <w:sdt>
                    <w:sdtPr>
                      <w:rPr>
                        <w:b/>
                        <w:bCs/>
                        <w:sz w:val="20"/>
                        <w:szCs w:val="20"/>
                      </w:rPr>
                      <w:id w:val="468256186"/>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5C1651DF" w14:textId="77777777" w:rsidR="00765264" w:rsidRDefault="00765264" w:rsidP="002D3E0F">
            <w:pPr>
              <w:spacing w:before="40" w:after="40"/>
              <w:rPr>
                <w:b/>
                <w:bCs/>
                <w:sz w:val="18"/>
                <w:szCs w:val="18"/>
                <w:u w:val="single"/>
              </w:rPr>
            </w:pPr>
          </w:p>
        </w:tc>
      </w:tr>
      <w:tr w:rsidR="00765264" w14:paraId="6BEABBF4" w14:textId="77777777" w:rsidTr="00765264">
        <w:trPr>
          <w:trHeight w:val="529"/>
        </w:trPr>
        <w:tc>
          <w:tcPr>
            <w:tcW w:w="3258" w:type="dxa"/>
            <w:gridSpan w:val="2"/>
            <w:vMerge/>
            <w:tcBorders>
              <w:left w:val="single" w:sz="8" w:space="0" w:color="auto"/>
              <w:right w:val="single" w:sz="8" w:space="0" w:color="auto"/>
            </w:tcBorders>
            <w:shd w:val="clear" w:color="auto" w:fill="EEECE1" w:themeFill="background2"/>
          </w:tcPr>
          <w:p w14:paraId="0C5C5893" w14:textId="77777777" w:rsidR="00765264" w:rsidRDefault="00765264" w:rsidP="002D3E0F">
            <w:pPr>
              <w:ind w:left="360" w:hanging="360"/>
              <w:rPr>
                <w:sz w:val="18"/>
                <w:szCs w:val="18"/>
              </w:rPr>
            </w:pPr>
          </w:p>
        </w:tc>
        <w:tc>
          <w:tcPr>
            <w:tcW w:w="8505" w:type="dxa"/>
            <w:gridSpan w:val="7"/>
            <w:tcBorders>
              <w:left w:val="single" w:sz="8" w:space="0" w:color="auto"/>
              <w:bottom w:val="single" w:sz="8" w:space="0" w:color="auto"/>
              <w:right w:val="single" w:sz="8" w:space="0" w:color="auto"/>
            </w:tcBorders>
            <w:shd w:val="clear" w:color="auto" w:fill="EEECE1" w:themeFill="background2"/>
          </w:tcPr>
          <w:p w14:paraId="4DBEB1E7" w14:textId="08A3D936" w:rsidR="00765264" w:rsidRPr="00765264" w:rsidRDefault="00765264" w:rsidP="00A44D7D">
            <w:pPr>
              <w:pStyle w:val="ListParagraph"/>
              <w:numPr>
                <w:ilvl w:val="0"/>
                <w:numId w:val="7"/>
              </w:numPr>
              <w:ind w:left="316"/>
              <w:rPr>
                <w:b/>
                <w:sz w:val="20"/>
                <w:szCs w:val="20"/>
              </w:rPr>
            </w:pPr>
            <w:r>
              <w:rPr>
                <w:bCs/>
                <w:sz w:val="18"/>
                <w:szCs w:val="18"/>
              </w:rPr>
              <w:t>Leaders of GCRI partner organizations regularly highlight and promote the GCRI shared vision as a top priority for their work.</w:t>
            </w:r>
          </w:p>
        </w:tc>
        <w:tc>
          <w:tcPr>
            <w:tcW w:w="2835" w:type="dxa"/>
            <w:tcBorders>
              <w:left w:val="single" w:sz="8" w:space="0" w:color="auto"/>
              <w:bottom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30E7D653" w14:textId="77777777" w:rsidTr="00765264">
              <w:tc>
                <w:tcPr>
                  <w:tcW w:w="652" w:type="dxa"/>
                </w:tcPr>
                <w:p w14:paraId="26D923F9" w14:textId="0410B436" w:rsidR="00765264" w:rsidRPr="00ED64CA" w:rsidRDefault="008530DA" w:rsidP="00765264">
                  <w:pPr>
                    <w:spacing w:before="40" w:after="40"/>
                    <w:jc w:val="center"/>
                    <w:rPr>
                      <w:b/>
                      <w:bCs/>
                      <w:sz w:val="20"/>
                      <w:szCs w:val="20"/>
                    </w:rPr>
                  </w:pPr>
                  <w:sdt>
                    <w:sdtPr>
                      <w:rPr>
                        <w:b/>
                        <w:bCs/>
                        <w:sz w:val="20"/>
                        <w:szCs w:val="20"/>
                      </w:rPr>
                      <w:id w:val="1642916957"/>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7345DCF3" w14:textId="77777777" w:rsidR="00765264" w:rsidRPr="00ED64CA" w:rsidRDefault="008530DA" w:rsidP="00765264">
                  <w:pPr>
                    <w:spacing w:before="40" w:after="40"/>
                    <w:jc w:val="center"/>
                    <w:rPr>
                      <w:b/>
                      <w:bCs/>
                      <w:sz w:val="20"/>
                      <w:szCs w:val="20"/>
                    </w:rPr>
                  </w:pPr>
                  <w:sdt>
                    <w:sdtPr>
                      <w:rPr>
                        <w:b/>
                        <w:bCs/>
                        <w:sz w:val="20"/>
                        <w:szCs w:val="20"/>
                      </w:rPr>
                      <w:id w:val="496315934"/>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5A3A39C8" w14:textId="77777777" w:rsidR="00765264" w:rsidRPr="00ED64CA" w:rsidRDefault="008530DA" w:rsidP="00765264">
                  <w:pPr>
                    <w:spacing w:before="40" w:after="40"/>
                    <w:jc w:val="center"/>
                    <w:rPr>
                      <w:b/>
                      <w:bCs/>
                      <w:sz w:val="20"/>
                      <w:szCs w:val="20"/>
                    </w:rPr>
                  </w:pPr>
                  <w:sdt>
                    <w:sdtPr>
                      <w:rPr>
                        <w:b/>
                        <w:bCs/>
                        <w:sz w:val="20"/>
                        <w:szCs w:val="20"/>
                      </w:rPr>
                      <w:id w:val="-1948836839"/>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06C78FE4" w14:textId="77777777" w:rsidR="00765264" w:rsidRPr="00ED64CA" w:rsidRDefault="008530DA" w:rsidP="00765264">
                  <w:pPr>
                    <w:spacing w:before="40" w:after="40"/>
                    <w:jc w:val="center"/>
                    <w:rPr>
                      <w:b/>
                      <w:bCs/>
                      <w:sz w:val="20"/>
                      <w:szCs w:val="20"/>
                    </w:rPr>
                  </w:pPr>
                  <w:sdt>
                    <w:sdtPr>
                      <w:rPr>
                        <w:b/>
                        <w:bCs/>
                        <w:sz w:val="20"/>
                        <w:szCs w:val="20"/>
                      </w:rPr>
                      <w:id w:val="829256070"/>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27BBD518" w14:textId="77777777" w:rsidR="00765264" w:rsidRDefault="00765264" w:rsidP="002D3E0F">
            <w:pPr>
              <w:spacing w:before="40" w:after="40"/>
              <w:rPr>
                <w:b/>
                <w:bCs/>
                <w:sz w:val="18"/>
                <w:szCs w:val="18"/>
                <w:u w:val="single"/>
              </w:rPr>
            </w:pPr>
          </w:p>
        </w:tc>
      </w:tr>
      <w:tr w:rsidR="00765264" w14:paraId="6F6F4E60" w14:textId="77777777" w:rsidTr="00765264">
        <w:tc>
          <w:tcPr>
            <w:tcW w:w="3258" w:type="dxa"/>
            <w:gridSpan w:val="2"/>
            <w:vMerge w:val="restart"/>
            <w:tcBorders>
              <w:top w:val="single" w:sz="8" w:space="0" w:color="auto"/>
              <w:left w:val="single" w:sz="8" w:space="0" w:color="auto"/>
              <w:right w:val="single" w:sz="8" w:space="0" w:color="auto"/>
            </w:tcBorders>
            <w:shd w:val="clear" w:color="auto" w:fill="EEECE1" w:themeFill="background2"/>
          </w:tcPr>
          <w:p w14:paraId="361EA225" w14:textId="7408503F" w:rsidR="00765264" w:rsidRDefault="00765264" w:rsidP="002D3E0F">
            <w:pPr>
              <w:ind w:left="360" w:hanging="360"/>
              <w:rPr>
                <w:sz w:val="18"/>
                <w:szCs w:val="18"/>
              </w:rPr>
            </w:pPr>
            <w:r>
              <w:rPr>
                <w:sz w:val="18"/>
                <w:szCs w:val="18"/>
              </w:rPr>
              <w:t>FP2</w:t>
            </w:r>
            <w:r w:rsidRPr="00462EC2">
              <w:rPr>
                <w:sz w:val="18"/>
                <w:szCs w:val="18"/>
              </w:rPr>
              <w:t xml:space="preserve">.  </w:t>
            </w:r>
            <w:r>
              <w:rPr>
                <w:b/>
                <w:bCs/>
                <w:sz w:val="18"/>
                <w:szCs w:val="18"/>
              </w:rPr>
              <w:t>Shared accountability for results:</w:t>
            </w:r>
            <w:r>
              <w:rPr>
                <w:sz w:val="18"/>
                <w:szCs w:val="18"/>
              </w:rPr>
              <w:t xml:space="preserve"> GCRI cross-sector partners have defined and accepted shared accountability for the effectiveness of their career preparation system across grades 9-16.</w:t>
            </w:r>
          </w:p>
        </w:tc>
        <w:tc>
          <w:tcPr>
            <w:tcW w:w="8505" w:type="dxa"/>
            <w:gridSpan w:val="7"/>
            <w:tcBorders>
              <w:top w:val="single" w:sz="8" w:space="0" w:color="auto"/>
              <w:left w:val="single" w:sz="8" w:space="0" w:color="auto"/>
              <w:right w:val="single" w:sz="8" w:space="0" w:color="auto"/>
            </w:tcBorders>
            <w:shd w:val="clear" w:color="auto" w:fill="EEECE1" w:themeFill="background2"/>
          </w:tcPr>
          <w:p w14:paraId="503F26A1" w14:textId="1174EBFD" w:rsidR="00765264" w:rsidRPr="002D3E0F" w:rsidRDefault="00765264" w:rsidP="002D3E0F">
            <w:pPr>
              <w:rPr>
                <w:b/>
                <w:sz w:val="20"/>
                <w:szCs w:val="20"/>
              </w:rPr>
            </w:pPr>
            <w:r w:rsidRPr="002D3E0F">
              <w:rPr>
                <w:b/>
                <w:sz w:val="20"/>
                <w:szCs w:val="20"/>
              </w:rPr>
              <w:t>Target outcome FP2: Developing shared accountability for results</w:t>
            </w:r>
          </w:p>
        </w:tc>
        <w:tc>
          <w:tcPr>
            <w:tcW w:w="2835" w:type="dxa"/>
            <w:tcBorders>
              <w:top w:val="single" w:sz="8" w:space="0" w:color="auto"/>
              <w:left w:val="single" w:sz="8" w:space="0" w:color="auto"/>
              <w:right w:val="single" w:sz="8" w:space="0" w:color="auto"/>
            </w:tcBorders>
            <w:shd w:val="clear" w:color="auto" w:fill="EEECE1" w:themeFill="background2"/>
          </w:tcPr>
          <w:p w14:paraId="21B9C961" w14:textId="77777777" w:rsidR="00765264" w:rsidRDefault="00765264" w:rsidP="002D3E0F">
            <w:pPr>
              <w:spacing w:before="40" w:after="40"/>
              <w:rPr>
                <w:b/>
                <w:bCs/>
                <w:sz w:val="18"/>
                <w:szCs w:val="18"/>
                <w:u w:val="single"/>
              </w:rPr>
            </w:pPr>
          </w:p>
        </w:tc>
      </w:tr>
      <w:tr w:rsidR="00765264" w14:paraId="394FBA06" w14:textId="77777777" w:rsidTr="00765264">
        <w:trPr>
          <w:trHeight w:val="729"/>
        </w:trPr>
        <w:tc>
          <w:tcPr>
            <w:tcW w:w="3258" w:type="dxa"/>
            <w:gridSpan w:val="2"/>
            <w:vMerge/>
            <w:tcBorders>
              <w:left w:val="single" w:sz="8" w:space="0" w:color="auto"/>
              <w:right w:val="single" w:sz="8" w:space="0" w:color="auto"/>
            </w:tcBorders>
            <w:shd w:val="clear" w:color="auto" w:fill="EEECE1" w:themeFill="background2"/>
          </w:tcPr>
          <w:p w14:paraId="0E1B6D67" w14:textId="77777777" w:rsidR="00765264" w:rsidRDefault="00765264" w:rsidP="002D3E0F">
            <w:pPr>
              <w:ind w:left="360" w:hanging="360"/>
              <w:rPr>
                <w:sz w:val="18"/>
                <w:szCs w:val="18"/>
              </w:rPr>
            </w:pPr>
          </w:p>
        </w:tc>
        <w:tc>
          <w:tcPr>
            <w:tcW w:w="8505" w:type="dxa"/>
            <w:gridSpan w:val="7"/>
            <w:tcBorders>
              <w:left w:val="single" w:sz="8" w:space="0" w:color="auto"/>
              <w:right w:val="single" w:sz="8" w:space="0" w:color="auto"/>
            </w:tcBorders>
            <w:shd w:val="clear" w:color="auto" w:fill="EEECE1" w:themeFill="background2"/>
          </w:tcPr>
          <w:p w14:paraId="4D40C782" w14:textId="417F92D4" w:rsidR="00765264" w:rsidRPr="00765264" w:rsidRDefault="00765264" w:rsidP="00765264">
            <w:pPr>
              <w:pStyle w:val="ListParagraph"/>
              <w:numPr>
                <w:ilvl w:val="0"/>
                <w:numId w:val="1"/>
              </w:numPr>
              <w:ind w:left="316"/>
              <w:rPr>
                <w:b/>
                <w:sz w:val="20"/>
                <w:szCs w:val="20"/>
              </w:rPr>
            </w:pPr>
            <w:r w:rsidRPr="00765264">
              <w:rPr>
                <w:sz w:val="18"/>
                <w:szCs w:val="18"/>
              </w:rPr>
              <w:t>GCRI partners have collaboratively determined specific ways in which they will share accountability for the results of their shared work to prepare students for in-demand, high-skill, family-sustaining wage career opportunities</w:t>
            </w:r>
            <w:r w:rsidR="005C578A">
              <w:rPr>
                <w:sz w:val="18"/>
                <w:szCs w:val="18"/>
              </w:rPr>
              <w:t xml:space="preserve"> in the post-COVID economy</w:t>
            </w:r>
            <w:r w:rsidR="00497913">
              <w:rPr>
                <w:sz w:val="18"/>
                <w:szCs w:val="18"/>
              </w:rPr>
              <w:t xml:space="preserve"> (e.g. data dashboard, common metrics, annual report)</w:t>
            </w:r>
            <w:r w:rsidRPr="00765264">
              <w:rPr>
                <w:sz w:val="18"/>
                <w:szCs w:val="18"/>
              </w:rPr>
              <w:t>.</w:t>
            </w:r>
          </w:p>
        </w:tc>
        <w:tc>
          <w:tcPr>
            <w:tcW w:w="2835" w:type="dxa"/>
            <w:tcBorders>
              <w:left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4CB6AFBD" w14:textId="77777777" w:rsidTr="00765264">
              <w:tc>
                <w:tcPr>
                  <w:tcW w:w="652" w:type="dxa"/>
                </w:tcPr>
                <w:p w14:paraId="3A5E1552" w14:textId="77777777" w:rsidR="00765264" w:rsidRPr="00ED64CA" w:rsidRDefault="008530DA" w:rsidP="00765264">
                  <w:pPr>
                    <w:spacing w:before="40" w:after="40"/>
                    <w:jc w:val="center"/>
                    <w:rPr>
                      <w:b/>
                      <w:bCs/>
                      <w:sz w:val="20"/>
                      <w:szCs w:val="20"/>
                    </w:rPr>
                  </w:pPr>
                  <w:sdt>
                    <w:sdtPr>
                      <w:rPr>
                        <w:b/>
                        <w:bCs/>
                        <w:sz w:val="20"/>
                        <w:szCs w:val="20"/>
                      </w:rPr>
                      <w:id w:val="520980023"/>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4664AED3" w14:textId="77777777" w:rsidR="00765264" w:rsidRPr="00ED64CA" w:rsidRDefault="008530DA" w:rsidP="00765264">
                  <w:pPr>
                    <w:spacing w:before="40" w:after="40"/>
                    <w:jc w:val="center"/>
                    <w:rPr>
                      <w:b/>
                      <w:bCs/>
                      <w:sz w:val="20"/>
                      <w:szCs w:val="20"/>
                    </w:rPr>
                  </w:pPr>
                  <w:sdt>
                    <w:sdtPr>
                      <w:rPr>
                        <w:b/>
                        <w:bCs/>
                        <w:sz w:val="20"/>
                        <w:szCs w:val="20"/>
                      </w:rPr>
                      <w:id w:val="1273909305"/>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1F93ABCC" w14:textId="77777777" w:rsidR="00765264" w:rsidRPr="00ED64CA" w:rsidRDefault="008530DA" w:rsidP="00765264">
                  <w:pPr>
                    <w:spacing w:before="40" w:after="40"/>
                    <w:jc w:val="center"/>
                    <w:rPr>
                      <w:b/>
                      <w:bCs/>
                      <w:sz w:val="20"/>
                      <w:szCs w:val="20"/>
                    </w:rPr>
                  </w:pPr>
                  <w:sdt>
                    <w:sdtPr>
                      <w:rPr>
                        <w:b/>
                        <w:bCs/>
                        <w:sz w:val="20"/>
                        <w:szCs w:val="20"/>
                      </w:rPr>
                      <w:id w:val="-503050480"/>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7F326E19" w14:textId="77777777" w:rsidR="00765264" w:rsidRPr="00ED64CA" w:rsidRDefault="008530DA" w:rsidP="00765264">
                  <w:pPr>
                    <w:spacing w:before="40" w:after="40"/>
                    <w:jc w:val="center"/>
                    <w:rPr>
                      <w:b/>
                      <w:bCs/>
                      <w:sz w:val="20"/>
                      <w:szCs w:val="20"/>
                    </w:rPr>
                  </w:pPr>
                  <w:sdt>
                    <w:sdtPr>
                      <w:rPr>
                        <w:b/>
                        <w:bCs/>
                        <w:sz w:val="20"/>
                        <w:szCs w:val="20"/>
                      </w:rPr>
                      <w:id w:val="912286911"/>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4932B4D2" w14:textId="77777777" w:rsidR="00765264" w:rsidRDefault="00765264" w:rsidP="002D3E0F">
            <w:pPr>
              <w:spacing w:before="40" w:after="40"/>
              <w:rPr>
                <w:b/>
                <w:bCs/>
                <w:sz w:val="18"/>
                <w:szCs w:val="18"/>
                <w:u w:val="single"/>
              </w:rPr>
            </w:pPr>
          </w:p>
        </w:tc>
      </w:tr>
      <w:tr w:rsidR="00765264" w14:paraId="71EE5000" w14:textId="77777777" w:rsidTr="00765264">
        <w:trPr>
          <w:trHeight w:val="531"/>
        </w:trPr>
        <w:tc>
          <w:tcPr>
            <w:tcW w:w="3258" w:type="dxa"/>
            <w:gridSpan w:val="2"/>
            <w:vMerge/>
            <w:tcBorders>
              <w:left w:val="single" w:sz="8" w:space="0" w:color="auto"/>
              <w:bottom w:val="single" w:sz="8" w:space="0" w:color="auto"/>
              <w:right w:val="single" w:sz="8" w:space="0" w:color="auto"/>
            </w:tcBorders>
            <w:shd w:val="clear" w:color="auto" w:fill="EEECE1" w:themeFill="background2"/>
          </w:tcPr>
          <w:p w14:paraId="5FA91E3B" w14:textId="77777777" w:rsidR="00765264" w:rsidRDefault="00765264" w:rsidP="002D3E0F">
            <w:pPr>
              <w:ind w:left="360" w:hanging="360"/>
              <w:rPr>
                <w:sz w:val="18"/>
                <w:szCs w:val="18"/>
              </w:rPr>
            </w:pPr>
          </w:p>
        </w:tc>
        <w:tc>
          <w:tcPr>
            <w:tcW w:w="8505" w:type="dxa"/>
            <w:gridSpan w:val="7"/>
            <w:tcBorders>
              <w:left w:val="single" w:sz="8" w:space="0" w:color="auto"/>
              <w:bottom w:val="single" w:sz="8" w:space="0" w:color="auto"/>
              <w:right w:val="single" w:sz="8" w:space="0" w:color="auto"/>
            </w:tcBorders>
            <w:shd w:val="clear" w:color="auto" w:fill="EEECE1" w:themeFill="background2"/>
          </w:tcPr>
          <w:p w14:paraId="75F9B8D6" w14:textId="62D177D9" w:rsidR="00765264" w:rsidRPr="00765264" w:rsidRDefault="00765264" w:rsidP="00765264">
            <w:pPr>
              <w:pStyle w:val="ListParagraph"/>
              <w:numPr>
                <w:ilvl w:val="0"/>
                <w:numId w:val="1"/>
              </w:numPr>
              <w:ind w:left="316"/>
              <w:rPr>
                <w:b/>
                <w:sz w:val="20"/>
                <w:szCs w:val="20"/>
              </w:rPr>
            </w:pPr>
            <w:r w:rsidRPr="00765264">
              <w:rPr>
                <w:sz w:val="18"/>
                <w:szCs w:val="18"/>
              </w:rPr>
              <w:t>Cross-sector partners disaggregate and analyze mutually agreed-upon outcome data related to career pathways to determine the effectiveness of their partnership.</w:t>
            </w:r>
          </w:p>
        </w:tc>
        <w:tc>
          <w:tcPr>
            <w:tcW w:w="2835" w:type="dxa"/>
            <w:tcBorders>
              <w:left w:val="single" w:sz="8" w:space="0" w:color="auto"/>
              <w:bottom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5C7EE295" w14:textId="77777777" w:rsidTr="00765264">
              <w:tc>
                <w:tcPr>
                  <w:tcW w:w="652" w:type="dxa"/>
                </w:tcPr>
                <w:p w14:paraId="19471172" w14:textId="059A3650" w:rsidR="00765264" w:rsidRPr="00ED64CA" w:rsidRDefault="008530DA" w:rsidP="00765264">
                  <w:pPr>
                    <w:spacing w:before="40" w:after="40"/>
                    <w:jc w:val="center"/>
                    <w:rPr>
                      <w:b/>
                      <w:bCs/>
                      <w:sz w:val="20"/>
                      <w:szCs w:val="20"/>
                    </w:rPr>
                  </w:pPr>
                  <w:sdt>
                    <w:sdtPr>
                      <w:rPr>
                        <w:b/>
                        <w:bCs/>
                        <w:sz w:val="20"/>
                        <w:szCs w:val="20"/>
                      </w:rPr>
                      <w:id w:val="971630505"/>
                      <w14:checkbox>
                        <w14:checked w14:val="0"/>
                        <w14:checkedState w14:val="2612" w14:font="MS Gothic"/>
                        <w14:uncheckedState w14:val="2610" w14:font="MS Gothic"/>
                      </w14:checkbox>
                    </w:sdtPr>
                    <w:sdtContent>
                      <w:r w:rsidR="00FD41EA">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5674F969" w14:textId="77777777" w:rsidR="00765264" w:rsidRPr="00ED64CA" w:rsidRDefault="008530DA" w:rsidP="00765264">
                  <w:pPr>
                    <w:spacing w:before="40" w:after="40"/>
                    <w:jc w:val="center"/>
                    <w:rPr>
                      <w:b/>
                      <w:bCs/>
                      <w:sz w:val="20"/>
                      <w:szCs w:val="20"/>
                    </w:rPr>
                  </w:pPr>
                  <w:sdt>
                    <w:sdtPr>
                      <w:rPr>
                        <w:b/>
                        <w:bCs/>
                        <w:sz w:val="20"/>
                        <w:szCs w:val="20"/>
                      </w:rPr>
                      <w:id w:val="-1299843695"/>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6091176C" w14:textId="77777777" w:rsidR="00765264" w:rsidRPr="00ED64CA" w:rsidRDefault="008530DA" w:rsidP="00765264">
                  <w:pPr>
                    <w:spacing w:before="40" w:after="40"/>
                    <w:jc w:val="center"/>
                    <w:rPr>
                      <w:b/>
                      <w:bCs/>
                      <w:sz w:val="20"/>
                      <w:szCs w:val="20"/>
                    </w:rPr>
                  </w:pPr>
                  <w:sdt>
                    <w:sdtPr>
                      <w:rPr>
                        <w:b/>
                        <w:bCs/>
                        <w:sz w:val="20"/>
                        <w:szCs w:val="20"/>
                      </w:rPr>
                      <w:id w:val="637846018"/>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393C61C0" w14:textId="77777777" w:rsidR="00765264" w:rsidRPr="00ED64CA" w:rsidRDefault="008530DA" w:rsidP="00765264">
                  <w:pPr>
                    <w:spacing w:before="40" w:after="40"/>
                    <w:jc w:val="center"/>
                    <w:rPr>
                      <w:b/>
                      <w:bCs/>
                      <w:sz w:val="20"/>
                      <w:szCs w:val="20"/>
                    </w:rPr>
                  </w:pPr>
                  <w:sdt>
                    <w:sdtPr>
                      <w:rPr>
                        <w:b/>
                        <w:bCs/>
                        <w:sz w:val="20"/>
                        <w:szCs w:val="20"/>
                      </w:rPr>
                      <w:id w:val="655650119"/>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0834F02B" w14:textId="77777777" w:rsidR="00765264" w:rsidRDefault="00765264" w:rsidP="002D3E0F">
            <w:pPr>
              <w:spacing w:before="40" w:after="40"/>
              <w:rPr>
                <w:b/>
                <w:bCs/>
                <w:sz w:val="18"/>
                <w:szCs w:val="18"/>
                <w:u w:val="single"/>
              </w:rPr>
            </w:pPr>
          </w:p>
        </w:tc>
      </w:tr>
      <w:tr w:rsidR="00765264" w14:paraId="2BC66C88" w14:textId="77777777" w:rsidTr="00765264">
        <w:trPr>
          <w:trHeight w:val="259"/>
        </w:trPr>
        <w:tc>
          <w:tcPr>
            <w:tcW w:w="3258" w:type="dxa"/>
            <w:gridSpan w:val="2"/>
            <w:vMerge w:val="restart"/>
            <w:tcBorders>
              <w:left w:val="single" w:sz="8" w:space="0" w:color="auto"/>
              <w:right w:val="single" w:sz="8" w:space="0" w:color="auto"/>
            </w:tcBorders>
            <w:shd w:val="clear" w:color="auto" w:fill="EEECE1" w:themeFill="background2"/>
          </w:tcPr>
          <w:p w14:paraId="73F1F067" w14:textId="4812FC9B" w:rsidR="00765264" w:rsidRDefault="00765264" w:rsidP="002D3E0F">
            <w:pPr>
              <w:ind w:left="360" w:hanging="360"/>
              <w:rPr>
                <w:sz w:val="18"/>
                <w:szCs w:val="18"/>
              </w:rPr>
            </w:pPr>
            <w:r>
              <w:rPr>
                <w:sz w:val="18"/>
                <w:szCs w:val="18"/>
              </w:rPr>
              <w:t xml:space="preserve">FP3. </w:t>
            </w:r>
            <w:r w:rsidRPr="007B6EE5">
              <w:rPr>
                <w:b/>
                <w:bCs/>
                <w:sz w:val="18"/>
                <w:szCs w:val="18"/>
              </w:rPr>
              <w:t>Enabled collaboration</w:t>
            </w:r>
            <w:r>
              <w:rPr>
                <w:sz w:val="18"/>
                <w:szCs w:val="18"/>
              </w:rPr>
              <w:t xml:space="preserve">: </w:t>
            </w:r>
            <w:r w:rsidRPr="007B6EE5">
              <w:rPr>
                <w:sz w:val="18"/>
                <w:szCs w:val="18"/>
              </w:rPr>
              <w:t xml:space="preserve">Mechanisms for </w:t>
            </w:r>
            <w:r>
              <w:rPr>
                <w:sz w:val="18"/>
                <w:szCs w:val="18"/>
              </w:rPr>
              <w:t xml:space="preserve">the </w:t>
            </w:r>
            <w:r w:rsidRPr="007B6EE5">
              <w:rPr>
                <w:sz w:val="18"/>
                <w:szCs w:val="18"/>
              </w:rPr>
              <w:t>collaboration</w:t>
            </w:r>
            <w:r>
              <w:rPr>
                <w:sz w:val="18"/>
                <w:szCs w:val="18"/>
              </w:rPr>
              <w:t xml:space="preserve"> needed to reach the shared vision of success</w:t>
            </w:r>
            <w:r w:rsidRPr="007B6EE5">
              <w:rPr>
                <w:sz w:val="18"/>
                <w:szCs w:val="18"/>
              </w:rPr>
              <w:t xml:space="preserve"> are established and in place across partnering organizations</w:t>
            </w:r>
            <w:r>
              <w:rPr>
                <w:sz w:val="18"/>
                <w:szCs w:val="18"/>
              </w:rPr>
              <w:t>.</w:t>
            </w:r>
          </w:p>
        </w:tc>
        <w:tc>
          <w:tcPr>
            <w:tcW w:w="8505" w:type="dxa"/>
            <w:gridSpan w:val="7"/>
            <w:tcBorders>
              <w:top w:val="single" w:sz="8" w:space="0" w:color="auto"/>
              <w:left w:val="single" w:sz="8" w:space="0" w:color="auto"/>
              <w:right w:val="single" w:sz="8" w:space="0" w:color="auto"/>
            </w:tcBorders>
            <w:shd w:val="clear" w:color="auto" w:fill="EEECE1" w:themeFill="background2"/>
          </w:tcPr>
          <w:p w14:paraId="23A08506" w14:textId="1B094E7F" w:rsidR="00765264" w:rsidRPr="00765264" w:rsidRDefault="00765264" w:rsidP="00765264">
            <w:pPr>
              <w:rPr>
                <w:b/>
                <w:sz w:val="20"/>
                <w:szCs w:val="18"/>
              </w:rPr>
            </w:pPr>
            <w:r w:rsidRPr="002D3E0F">
              <w:rPr>
                <w:b/>
                <w:sz w:val="20"/>
                <w:szCs w:val="18"/>
              </w:rPr>
              <w:t>Target Outcome FP3: Ensuring mechanisms for collaboration are established</w:t>
            </w:r>
          </w:p>
        </w:tc>
        <w:tc>
          <w:tcPr>
            <w:tcW w:w="2835" w:type="dxa"/>
            <w:tcBorders>
              <w:top w:val="single" w:sz="8" w:space="0" w:color="auto"/>
              <w:left w:val="single" w:sz="8" w:space="0" w:color="auto"/>
              <w:right w:val="single" w:sz="8" w:space="0" w:color="auto"/>
            </w:tcBorders>
            <w:shd w:val="clear" w:color="auto" w:fill="EEECE1" w:themeFill="background2"/>
          </w:tcPr>
          <w:p w14:paraId="601BF658" w14:textId="77777777" w:rsidR="00765264" w:rsidRDefault="00765264" w:rsidP="00765264">
            <w:pPr>
              <w:spacing w:before="40" w:after="40"/>
              <w:jc w:val="center"/>
              <w:rPr>
                <w:b/>
                <w:bCs/>
                <w:sz w:val="20"/>
                <w:szCs w:val="20"/>
              </w:rPr>
            </w:pPr>
          </w:p>
        </w:tc>
      </w:tr>
      <w:tr w:rsidR="00765264" w14:paraId="4C9ED035" w14:textId="77777777" w:rsidTr="00FD41EA">
        <w:trPr>
          <w:trHeight w:val="828"/>
        </w:trPr>
        <w:tc>
          <w:tcPr>
            <w:tcW w:w="3258" w:type="dxa"/>
            <w:gridSpan w:val="2"/>
            <w:vMerge/>
            <w:tcBorders>
              <w:left w:val="single" w:sz="8" w:space="0" w:color="auto"/>
              <w:right w:val="single" w:sz="8" w:space="0" w:color="auto"/>
            </w:tcBorders>
            <w:shd w:val="clear" w:color="auto" w:fill="EEECE1" w:themeFill="background2"/>
          </w:tcPr>
          <w:p w14:paraId="3E2F5439" w14:textId="77777777" w:rsidR="00765264" w:rsidRDefault="00765264" w:rsidP="002D3E0F">
            <w:pPr>
              <w:ind w:left="360" w:hanging="360"/>
              <w:rPr>
                <w:sz w:val="18"/>
                <w:szCs w:val="18"/>
              </w:rPr>
            </w:pPr>
          </w:p>
        </w:tc>
        <w:tc>
          <w:tcPr>
            <w:tcW w:w="8505" w:type="dxa"/>
            <w:gridSpan w:val="7"/>
            <w:tcBorders>
              <w:left w:val="single" w:sz="8" w:space="0" w:color="auto"/>
              <w:right w:val="single" w:sz="8" w:space="0" w:color="auto"/>
            </w:tcBorders>
            <w:shd w:val="clear" w:color="auto" w:fill="EEECE1" w:themeFill="background2"/>
          </w:tcPr>
          <w:p w14:paraId="38BEF549" w14:textId="2266B379" w:rsidR="00765264" w:rsidRPr="00765264" w:rsidRDefault="00765264" w:rsidP="00A44D7D">
            <w:pPr>
              <w:pStyle w:val="ListParagraph"/>
              <w:numPr>
                <w:ilvl w:val="0"/>
                <w:numId w:val="8"/>
              </w:numPr>
              <w:ind w:left="316"/>
              <w:rPr>
                <w:sz w:val="18"/>
                <w:szCs w:val="18"/>
              </w:rPr>
            </w:pPr>
            <w:r w:rsidRPr="00765264">
              <w:rPr>
                <w:sz w:val="18"/>
                <w:szCs w:val="18"/>
              </w:rPr>
              <w:t xml:space="preserve">GCRI partner organizations have established processes and routines that are prioritized and utilized effectively to support and monitor progress toward the shared vision of success, including executing shared strategies, monitoring progress toward target outcomes, and identifying needed course corrections. </w:t>
            </w:r>
          </w:p>
        </w:tc>
        <w:tc>
          <w:tcPr>
            <w:tcW w:w="2835" w:type="dxa"/>
            <w:tcBorders>
              <w:left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5FEDA9BF" w14:textId="77777777" w:rsidTr="00765264">
              <w:tc>
                <w:tcPr>
                  <w:tcW w:w="652" w:type="dxa"/>
                </w:tcPr>
                <w:p w14:paraId="2868DA1A" w14:textId="2059CE5F" w:rsidR="00765264" w:rsidRPr="00ED64CA" w:rsidRDefault="008530DA" w:rsidP="00765264">
                  <w:pPr>
                    <w:spacing w:before="40" w:after="40"/>
                    <w:jc w:val="center"/>
                    <w:rPr>
                      <w:b/>
                      <w:bCs/>
                      <w:sz w:val="20"/>
                      <w:szCs w:val="20"/>
                    </w:rPr>
                  </w:pPr>
                  <w:sdt>
                    <w:sdtPr>
                      <w:rPr>
                        <w:b/>
                        <w:bCs/>
                        <w:sz w:val="20"/>
                        <w:szCs w:val="20"/>
                      </w:rPr>
                      <w:id w:val="-1753042843"/>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5983D988" w14:textId="77777777" w:rsidR="00765264" w:rsidRPr="00ED64CA" w:rsidRDefault="008530DA" w:rsidP="00765264">
                  <w:pPr>
                    <w:spacing w:before="40" w:after="40"/>
                    <w:jc w:val="center"/>
                    <w:rPr>
                      <w:b/>
                      <w:bCs/>
                      <w:sz w:val="20"/>
                      <w:szCs w:val="20"/>
                    </w:rPr>
                  </w:pPr>
                  <w:sdt>
                    <w:sdtPr>
                      <w:rPr>
                        <w:b/>
                        <w:bCs/>
                        <w:sz w:val="20"/>
                        <w:szCs w:val="20"/>
                      </w:rPr>
                      <w:id w:val="1741279748"/>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323D1830" w14:textId="77777777" w:rsidR="00765264" w:rsidRPr="00ED64CA" w:rsidRDefault="008530DA" w:rsidP="00765264">
                  <w:pPr>
                    <w:spacing w:before="40" w:after="40"/>
                    <w:jc w:val="center"/>
                    <w:rPr>
                      <w:b/>
                      <w:bCs/>
                      <w:sz w:val="20"/>
                      <w:szCs w:val="20"/>
                    </w:rPr>
                  </w:pPr>
                  <w:sdt>
                    <w:sdtPr>
                      <w:rPr>
                        <w:b/>
                        <w:bCs/>
                        <w:sz w:val="20"/>
                        <w:szCs w:val="20"/>
                      </w:rPr>
                      <w:id w:val="1312829348"/>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6CD5C4D9" w14:textId="77777777" w:rsidR="00765264" w:rsidRPr="00ED64CA" w:rsidRDefault="008530DA" w:rsidP="00765264">
                  <w:pPr>
                    <w:spacing w:before="40" w:after="40"/>
                    <w:jc w:val="center"/>
                    <w:rPr>
                      <w:b/>
                      <w:bCs/>
                      <w:sz w:val="20"/>
                      <w:szCs w:val="20"/>
                    </w:rPr>
                  </w:pPr>
                  <w:sdt>
                    <w:sdtPr>
                      <w:rPr>
                        <w:b/>
                        <w:bCs/>
                        <w:sz w:val="20"/>
                        <w:szCs w:val="20"/>
                      </w:rPr>
                      <w:id w:val="-273404374"/>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10D4BE8D" w14:textId="77777777" w:rsidR="00765264" w:rsidRDefault="00765264" w:rsidP="00765264">
            <w:pPr>
              <w:spacing w:before="40" w:after="40"/>
              <w:jc w:val="center"/>
              <w:rPr>
                <w:b/>
                <w:bCs/>
                <w:sz w:val="20"/>
                <w:szCs w:val="20"/>
              </w:rPr>
            </w:pPr>
          </w:p>
        </w:tc>
      </w:tr>
      <w:tr w:rsidR="00765264" w14:paraId="11EF1C82" w14:textId="77777777" w:rsidTr="00765264">
        <w:trPr>
          <w:trHeight w:val="819"/>
        </w:trPr>
        <w:tc>
          <w:tcPr>
            <w:tcW w:w="3258" w:type="dxa"/>
            <w:gridSpan w:val="2"/>
            <w:vMerge/>
            <w:tcBorders>
              <w:left w:val="single" w:sz="8" w:space="0" w:color="auto"/>
              <w:right w:val="single" w:sz="8" w:space="0" w:color="auto"/>
            </w:tcBorders>
            <w:shd w:val="clear" w:color="auto" w:fill="EEECE1" w:themeFill="background2"/>
          </w:tcPr>
          <w:p w14:paraId="7E3F3D70" w14:textId="77777777" w:rsidR="00765264" w:rsidRDefault="00765264" w:rsidP="002D3E0F">
            <w:pPr>
              <w:ind w:left="360" w:hanging="360"/>
              <w:rPr>
                <w:sz w:val="18"/>
                <w:szCs w:val="18"/>
              </w:rPr>
            </w:pPr>
          </w:p>
        </w:tc>
        <w:tc>
          <w:tcPr>
            <w:tcW w:w="8505" w:type="dxa"/>
            <w:gridSpan w:val="7"/>
            <w:tcBorders>
              <w:left w:val="single" w:sz="8" w:space="0" w:color="auto"/>
              <w:right w:val="single" w:sz="8" w:space="0" w:color="auto"/>
            </w:tcBorders>
            <w:shd w:val="clear" w:color="auto" w:fill="EEECE1" w:themeFill="background2"/>
          </w:tcPr>
          <w:p w14:paraId="5B24E719" w14:textId="578F865C" w:rsidR="00765264" w:rsidRPr="00765264" w:rsidRDefault="00765264" w:rsidP="00A44D7D">
            <w:pPr>
              <w:pStyle w:val="ListParagraph"/>
              <w:numPr>
                <w:ilvl w:val="0"/>
                <w:numId w:val="8"/>
              </w:numPr>
              <w:ind w:left="316"/>
              <w:rPr>
                <w:sz w:val="18"/>
                <w:szCs w:val="18"/>
              </w:rPr>
            </w:pPr>
            <w:r>
              <w:rPr>
                <w:sz w:val="18"/>
                <w:szCs w:val="18"/>
              </w:rPr>
              <w:t>The GCRI lead partner is established as the overall project manager; it communicates information and expectations clearly across partners; ensures partners are making progress toward established goals and objectives; and aligns the overall project with target outcomes.</w:t>
            </w:r>
          </w:p>
        </w:tc>
        <w:tc>
          <w:tcPr>
            <w:tcW w:w="2835" w:type="dxa"/>
            <w:tcBorders>
              <w:left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3657B074" w14:textId="77777777" w:rsidTr="00765264">
              <w:tc>
                <w:tcPr>
                  <w:tcW w:w="652" w:type="dxa"/>
                </w:tcPr>
                <w:p w14:paraId="1225A610" w14:textId="16165547" w:rsidR="00765264" w:rsidRPr="00ED64CA" w:rsidRDefault="008530DA" w:rsidP="00765264">
                  <w:pPr>
                    <w:spacing w:before="40" w:after="40"/>
                    <w:jc w:val="center"/>
                    <w:rPr>
                      <w:b/>
                      <w:bCs/>
                      <w:sz w:val="20"/>
                      <w:szCs w:val="20"/>
                    </w:rPr>
                  </w:pPr>
                  <w:sdt>
                    <w:sdtPr>
                      <w:rPr>
                        <w:b/>
                        <w:bCs/>
                        <w:sz w:val="20"/>
                        <w:szCs w:val="20"/>
                      </w:rPr>
                      <w:id w:val="1117952831"/>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49606770" w14:textId="77777777" w:rsidR="00765264" w:rsidRPr="00ED64CA" w:rsidRDefault="008530DA" w:rsidP="00765264">
                  <w:pPr>
                    <w:spacing w:before="40" w:after="40"/>
                    <w:jc w:val="center"/>
                    <w:rPr>
                      <w:b/>
                      <w:bCs/>
                      <w:sz w:val="20"/>
                      <w:szCs w:val="20"/>
                    </w:rPr>
                  </w:pPr>
                  <w:sdt>
                    <w:sdtPr>
                      <w:rPr>
                        <w:b/>
                        <w:bCs/>
                        <w:sz w:val="20"/>
                        <w:szCs w:val="20"/>
                      </w:rPr>
                      <w:id w:val="753095836"/>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126D134D" w14:textId="77777777" w:rsidR="00765264" w:rsidRPr="00ED64CA" w:rsidRDefault="008530DA" w:rsidP="00765264">
                  <w:pPr>
                    <w:spacing w:before="40" w:after="40"/>
                    <w:jc w:val="center"/>
                    <w:rPr>
                      <w:b/>
                      <w:bCs/>
                      <w:sz w:val="20"/>
                      <w:szCs w:val="20"/>
                    </w:rPr>
                  </w:pPr>
                  <w:sdt>
                    <w:sdtPr>
                      <w:rPr>
                        <w:b/>
                        <w:bCs/>
                        <w:sz w:val="20"/>
                        <w:szCs w:val="20"/>
                      </w:rPr>
                      <w:id w:val="1244464379"/>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7D8A1BC1" w14:textId="77777777" w:rsidR="00765264" w:rsidRPr="00ED64CA" w:rsidRDefault="008530DA" w:rsidP="00765264">
                  <w:pPr>
                    <w:spacing w:before="40" w:after="40"/>
                    <w:jc w:val="center"/>
                    <w:rPr>
                      <w:b/>
                      <w:bCs/>
                      <w:sz w:val="20"/>
                      <w:szCs w:val="20"/>
                    </w:rPr>
                  </w:pPr>
                  <w:sdt>
                    <w:sdtPr>
                      <w:rPr>
                        <w:b/>
                        <w:bCs/>
                        <w:sz w:val="20"/>
                        <w:szCs w:val="20"/>
                      </w:rPr>
                      <w:id w:val="1311215325"/>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31C29C33" w14:textId="77777777" w:rsidR="00765264" w:rsidRDefault="00765264" w:rsidP="00765264">
            <w:pPr>
              <w:spacing w:before="40" w:after="40"/>
              <w:jc w:val="center"/>
              <w:rPr>
                <w:b/>
                <w:bCs/>
                <w:sz w:val="20"/>
                <w:szCs w:val="20"/>
              </w:rPr>
            </w:pPr>
          </w:p>
        </w:tc>
      </w:tr>
      <w:tr w:rsidR="00765264" w14:paraId="4DFD64F4" w14:textId="77777777" w:rsidTr="00765264">
        <w:trPr>
          <w:trHeight w:val="801"/>
        </w:trPr>
        <w:tc>
          <w:tcPr>
            <w:tcW w:w="3258" w:type="dxa"/>
            <w:gridSpan w:val="2"/>
            <w:vMerge/>
            <w:tcBorders>
              <w:left w:val="single" w:sz="8" w:space="0" w:color="auto"/>
              <w:right w:val="single" w:sz="8" w:space="0" w:color="auto"/>
            </w:tcBorders>
            <w:shd w:val="clear" w:color="auto" w:fill="EEECE1" w:themeFill="background2"/>
          </w:tcPr>
          <w:p w14:paraId="4E3B5416" w14:textId="77777777" w:rsidR="00765264" w:rsidRDefault="00765264" w:rsidP="00C04C7E">
            <w:pPr>
              <w:ind w:left="360" w:hanging="360"/>
              <w:rPr>
                <w:sz w:val="18"/>
                <w:szCs w:val="18"/>
              </w:rPr>
            </w:pPr>
          </w:p>
        </w:tc>
        <w:tc>
          <w:tcPr>
            <w:tcW w:w="8505" w:type="dxa"/>
            <w:gridSpan w:val="7"/>
            <w:tcBorders>
              <w:left w:val="single" w:sz="8" w:space="0" w:color="auto"/>
              <w:right w:val="single" w:sz="8" w:space="0" w:color="auto"/>
            </w:tcBorders>
            <w:shd w:val="clear" w:color="auto" w:fill="EEECE1" w:themeFill="background2"/>
          </w:tcPr>
          <w:p w14:paraId="5515A7E2" w14:textId="61E06361" w:rsidR="00765264" w:rsidRPr="00765264" w:rsidRDefault="00765264" w:rsidP="00765264">
            <w:pPr>
              <w:pStyle w:val="ListParagraph"/>
              <w:numPr>
                <w:ilvl w:val="0"/>
                <w:numId w:val="1"/>
              </w:numPr>
              <w:ind w:left="316"/>
              <w:rPr>
                <w:sz w:val="18"/>
                <w:szCs w:val="18"/>
              </w:rPr>
            </w:pPr>
            <w:r>
              <w:rPr>
                <w:sz w:val="18"/>
                <w:szCs w:val="18"/>
              </w:rPr>
              <w:t>Each GCRI partner organization has clearly established roles and responsibilities and an understanding of how their work fits with and aligns with the work of other partners in support of progress toward the shared vision of success.</w:t>
            </w:r>
          </w:p>
        </w:tc>
        <w:tc>
          <w:tcPr>
            <w:tcW w:w="2835" w:type="dxa"/>
            <w:tcBorders>
              <w:left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ED64CA" w14:paraId="18C3C29F" w14:textId="77777777" w:rsidTr="00765264">
              <w:tc>
                <w:tcPr>
                  <w:tcW w:w="652" w:type="dxa"/>
                </w:tcPr>
                <w:p w14:paraId="336979B7" w14:textId="0F414A65" w:rsidR="00765264" w:rsidRPr="00ED64CA" w:rsidRDefault="008530DA" w:rsidP="00765264">
                  <w:pPr>
                    <w:spacing w:before="40" w:after="40"/>
                    <w:jc w:val="center"/>
                    <w:rPr>
                      <w:b/>
                      <w:bCs/>
                      <w:sz w:val="20"/>
                      <w:szCs w:val="20"/>
                    </w:rPr>
                  </w:pPr>
                  <w:sdt>
                    <w:sdtPr>
                      <w:rPr>
                        <w:b/>
                        <w:bCs/>
                        <w:sz w:val="20"/>
                        <w:szCs w:val="20"/>
                      </w:rPr>
                      <w:id w:val="142007018"/>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706F40B6" w14:textId="77777777" w:rsidR="00765264" w:rsidRPr="00ED64CA" w:rsidRDefault="008530DA" w:rsidP="00765264">
                  <w:pPr>
                    <w:spacing w:before="40" w:after="40"/>
                    <w:jc w:val="center"/>
                    <w:rPr>
                      <w:b/>
                      <w:bCs/>
                      <w:sz w:val="20"/>
                      <w:szCs w:val="20"/>
                    </w:rPr>
                  </w:pPr>
                  <w:sdt>
                    <w:sdtPr>
                      <w:rPr>
                        <w:b/>
                        <w:bCs/>
                        <w:sz w:val="20"/>
                        <w:szCs w:val="20"/>
                      </w:rPr>
                      <w:id w:val="-1177268917"/>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77128125" w14:textId="77777777" w:rsidR="00765264" w:rsidRPr="00ED64CA" w:rsidRDefault="008530DA" w:rsidP="00765264">
                  <w:pPr>
                    <w:spacing w:before="40" w:after="40"/>
                    <w:jc w:val="center"/>
                    <w:rPr>
                      <w:b/>
                      <w:bCs/>
                      <w:sz w:val="20"/>
                      <w:szCs w:val="20"/>
                    </w:rPr>
                  </w:pPr>
                  <w:sdt>
                    <w:sdtPr>
                      <w:rPr>
                        <w:b/>
                        <w:bCs/>
                        <w:sz w:val="20"/>
                        <w:szCs w:val="20"/>
                      </w:rPr>
                      <w:id w:val="-1754349565"/>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1BF17289" w14:textId="77777777" w:rsidR="00765264" w:rsidRPr="00ED64CA" w:rsidRDefault="008530DA" w:rsidP="00765264">
                  <w:pPr>
                    <w:spacing w:before="40" w:after="40"/>
                    <w:jc w:val="center"/>
                    <w:rPr>
                      <w:b/>
                      <w:bCs/>
                      <w:sz w:val="20"/>
                      <w:szCs w:val="20"/>
                    </w:rPr>
                  </w:pPr>
                  <w:sdt>
                    <w:sdtPr>
                      <w:rPr>
                        <w:b/>
                        <w:bCs/>
                        <w:sz w:val="20"/>
                        <w:szCs w:val="20"/>
                      </w:rPr>
                      <w:id w:val="-1448309152"/>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3AD6656A" w14:textId="77777777" w:rsidR="00765264" w:rsidRDefault="00765264" w:rsidP="00866068">
            <w:pPr>
              <w:spacing w:before="40" w:after="40"/>
              <w:jc w:val="center"/>
              <w:rPr>
                <w:b/>
                <w:bCs/>
                <w:sz w:val="18"/>
                <w:szCs w:val="18"/>
                <w:u w:val="single"/>
              </w:rPr>
            </w:pPr>
          </w:p>
        </w:tc>
      </w:tr>
      <w:tr w:rsidR="00765264" w14:paraId="0527AC82" w14:textId="77777777" w:rsidTr="00765264">
        <w:tc>
          <w:tcPr>
            <w:tcW w:w="3258" w:type="dxa"/>
            <w:gridSpan w:val="2"/>
            <w:vMerge/>
            <w:tcBorders>
              <w:left w:val="single" w:sz="8" w:space="0" w:color="auto"/>
              <w:bottom w:val="single" w:sz="8" w:space="0" w:color="auto"/>
              <w:right w:val="single" w:sz="8" w:space="0" w:color="auto"/>
            </w:tcBorders>
            <w:shd w:val="clear" w:color="auto" w:fill="EEECE1" w:themeFill="background2"/>
          </w:tcPr>
          <w:p w14:paraId="13661546" w14:textId="2B9A6910" w:rsidR="00765264" w:rsidRPr="00E62255" w:rsidRDefault="00765264" w:rsidP="00C04C7E">
            <w:pPr>
              <w:ind w:left="360" w:hanging="360"/>
              <w:rPr>
                <w:sz w:val="18"/>
                <w:szCs w:val="18"/>
              </w:rPr>
            </w:pPr>
          </w:p>
        </w:tc>
        <w:tc>
          <w:tcPr>
            <w:tcW w:w="8505" w:type="dxa"/>
            <w:gridSpan w:val="7"/>
            <w:tcBorders>
              <w:left w:val="single" w:sz="8" w:space="0" w:color="auto"/>
              <w:bottom w:val="single" w:sz="8" w:space="0" w:color="auto"/>
              <w:right w:val="single" w:sz="8" w:space="0" w:color="auto"/>
            </w:tcBorders>
            <w:shd w:val="clear" w:color="auto" w:fill="EEECE1" w:themeFill="background2"/>
          </w:tcPr>
          <w:p w14:paraId="3D9E186F" w14:textId="77777777" w:rsidR="00765264" w:rsidRDefault="00765264" w:rsidP="00866068">
            <w:pPr>
              <w:pStyle w:val="ListParagraph"/>
              <w:numPr>
                <w:ilvl w:val="0"/>
                <w:numId w:val="1"/>
              </w:numPr>
              <w:ind w:left="316"/>
              <w:rPr>
                <w:sz w:val="18"/>
                <w:szCs w:val="18"/>
              </w:rPr>
            </w:pPr>
            <w:r w:rsidRPr="00866068">
              <w:rPr>
                <w:sz w:val="18"/>
                <w:szCs w:val="18"/>
              </w:rPr>
              <w:t>The GCRI lead partner has created and/or supports mechanisms that enable collaboration between sub-groups of the GCRI partnership, including between all local-level partners; between local and state partners; and between public sector and private sector partners.</w:t>
            </w:r>
          </w:p>
          <w:p w14:paraId="0C9B352A" w14:textId="13D06ACE" w:rsidR="00765264" w:rsidRPr="00866068" w:rsidRDefault="00765264" w:rsidP="00765264">
            <w:pPr>
              <w:pStyle w:val="ListParagraph"/>
              <w:ind w:left="316"/>
              <w:rPr>
                <w:sz w:val="18"/>
                <w:szCs w:val="18"/>
              </w:rPr>
            </w:pPr>
          </w:p>
        </w:tc>
        <w:tc>
          <w:tcPr>
            <w:tcW w:w="2835" w:type="dxa"/>
            <w:tcBorders>
              <w:left w:val="single" w:sz="8" w:space="0" w:color="auto"/>
              <w:bottom w:val="single" w:sz="8" w:space="0" w:color="auto"/>
              <w:right w:val="single" w:sz="8" w:space="0" w:color="auto"/>
            </w:tcBorders>
            <w:shd w:val="clear" w:color="auto" w:fill="EEECE1"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765264" w:rsidRPr="00866068" w14:paraId="5D547C88" w14:textId="77777777" w:rsidTr="00C6076A">
              <w:tc>
                <w:tcPr>
                  <w:tcW w:w="652" w:type="dxa"/>
                </w:tcPr>
                <w:p w14:paraId="7897489D" w14:textId="32430F17" w:rsidR="00765264" w:rsidRPr="00ED64CA" w:rsidRDefault="008530DA" w:rsidP="00C6076A">
                  <w:pPr>
                    <w:spacing w:before="40" w:after="40"/>
                    <w:jc w:val="center"/>
                    <w:rPr>
                      <w:b/>
                      <w:bCs/>
                      <w:sz w:val="20"/>
                      <w:szCs w:val="20"/>
                    </w:rPr>
                  </w:pPr>
                  <w:sdt>
                    <w:sdtPr>
                      <w:rPr>
                        <w:b/>
                        <w:bCs/>
                        <w:sz w:val="20"/>
                        <w:szCs w:val="20"/>
                      </w:rPr>
                      <w:id w:val="1822223584"/>
                      <w14:checkbox>
                        <w14:checked w14:val="0"/>
                        <w14:checkedState w14:val="2612" w14:font="MS Gothic"/>
                        <w14:uncheckedState w14:val="2610" w14:font="MS Gothic"/>
                      </w14:checkbox>
                    </w:sdtPr>
                    <w:sdtContent>
                      <w:r w:rsidR="00765264">
                        <w:rPr>
                          <w:rFonts w:ascii="MS Gothic" w:eastAsia="MS Gothic" w:hAnsi="MS Gothic" w:hint="eastAsia"/>
                          <w:b/>
                          <w:bCs/>
                          <w:sz w:val="20"/>
                          <w:szCs w:val="20"/>
                        </w:rPr>
                        <w:t>☐</w:t>
                      </w:r>
                    </w:sdtContent>
                  </w:sdt>
                  <w:r w:rsidR="00765264" w:rsidRPr="00ED64CA">
                    <w:rPr>
                      <w:b/>
                      <w:bCs/>
                      <w:sz w:val="20"/>
                      <w:szCs w:val="20"/>
                    </w:rPr>
                    <w:t>1</w:t>
                  </w:r>
                </w:p>
              </w:tc>
              <w:tc>
                <w:tcPr>
                  <w:tcW w:w="652" w:type="dxa"/>
                </w:tcPr>
                <w:p w14:paraId="5EC9B9CD" w14:textId="77777777" w:rsidR="00765264" w:rsidRPr="00ED64CA" w:rsidRDefault="008530DA" w:rsidP="00C6076A">
                  <w:pPr>
                    <w:spacing w:before="40" w:after="40"/>
                    <w:jc w:val="center"/>
                    <w:rPr>
                      <w:b/>
                      <w:bCs/>
                      <w:sz w:val="20"/>
                      <w:szCs w:val="20"/>
                    </w:rPr>
                  </w:pPr>
                  <w:sdt>
                    <w:sdtPr>
                      <w:rPr>
                        <w:b/>
                        <w:bCs/>
                        <w:sz w:val="20"/>
                        <w:szCs w:val="20"/>
                      </w:rPr>
                      <w:id w:val="-1029793703"/>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2</w:t>
                  </w:r>
                </w:p>
              </w:tc>
              <w:tc>
                <w:tcPr>
                  <w:tcW w:w="652" w:type="dxa"/>
                </w:tcPr>
                <w:p w14:paraId="7BE9D698" w14:textId="77777777" w:rsidR="00765264" w:rsidRPr="00ED64CA" w:rsidRDefault="008530DA" w:rsidP="00C6076A">
                  <w:pPr>
                    <w:spacing w:before="40" w:after="40"/>
                    <w:jc w:val="center"/>
                    <w:rPr>
                      <w:b/>
                      <w:bCs/>
                      <w:sz w:val="20"/>
                      <w:szCs w:val="20"/>
                    </w:rPr>
                  </w:pPr>
                  <w:sdt>
                    <w:sdtPr>
                      <w:rPr>
                        <w:b/>
                        <w:bCs/>
                        <w:sz w:val="20"/>
                        <w:szCs w:val="20"/>
                      </w:rPr>
                      <w:id w:val="-297686050"/>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3</w:t>
                  </w:r>
                </w:p>
              </w:tc>
              <w:tc>
                <w:tcPr>
                  <w:tcW w:w="653" w:type="dxa"/>
                </w:tcPr>
                <w:p w14:paraId="54DA7F5A" w14:textId="77777777" w:rsidR="00765264" w:rsidRPr="00ED64CA" w:rsidRDefault="008530DA" w:rsidP="00C6076A">
                  <w:pPr>
                    <w:spacing w:before="40" w:after="40"/>
                    <w:jc w:val="center"/>
                    <w:rPr>
                      <w:b/>
                      <w:bCs/>
                      <w:sz w:val="20"/>
                      <w:szCs w:val="20"/>
                    </w:rPr>
                  </w:pPr>
                  <w:sdt>
                    <w:sdtPr>
                      <w:rPr>
                        <w:b/>
                        <w:bCs/>
                        <w:sz w:val="20"/>
                        <w:szCs w:val="20"/>
                      </w:rPr>
                      <w:id w:val="-754286605"/>
                      <w14:checkbox>
                        <w14:checked w14:val="0"/>
                        <w14:checkedState w14:val="2612" w14:font="MS Gothic"/>
                        <w14:uncheckedState w14:val="2610" w14:font="MS Gothic"/>
                      </w14:checkbox>
                    </w:sdtPr>
                    <w:sdtContent>
                      <w:r w:rsidR="00765264" w:rsidRPr="00ED64CA">
                        <w:rPr>
                          <w:rFonts w:ascii="MS Gothic" w:eastAsia="MS Gothic" w:hAnsi="MS Gothic" w:hint="eastAsia"/>
                          <w:b/>
                          <w:bCs/>
                          <w:sz w:val="20"/>
                          <w:szCs w:val="20"/>
                        </w:rPr>
                        <w:t>☐</w:t>
                      </w:r>
                    </w:sdtContent>
                  </w:sdt>
                  <w:r w:rsidR="00765264" w:rsidRPr="00ED64CA">
                    <w:rPr>
                      <w:b/>
                      <w:bCs/>
                      <w:sz w:val="20"/>
                      <w:szCs w:val="20"/>
                    </w:rPr>
                    <w:t>4</w:t>
                  </w:r>
                </w:p>
              </w:tc>
            </w:tr>
          </w:tbl>
          <w:p w14:paraId="7FA201B0" w14:textId="081EBA15" w:rsidR="00765264" w:rsidRPr="00866068" w:rsidRDefault="00765264" w:rsidP="00866068">
            <w:pPr>
              <w:spacing w:before="40" w:after="40"/>
              <w:jc w:val="center"/>
              <w:rPr>
                <w:b/>
                <w:bCs/>
                <w:sz w:val="18"/>
                <w:szCs w:val="18"/>
                <w:u w:val="single"/>
              </w:rPr>
            </w:pPr>
          </w:p>
        </w:tc>
      </w:tr>
      <w:tr w:rsidR="00A07192" w14:paraId="6898C51F" w14:textId="77777777" w:rsidTr="005F66C8">
        <w:tblPrEx>
          <w:tblBorders>
            <w:top w:val="single" w:sz="8" w:space="0" w:color="auto"/>
            <w:left w:val="single" w:sz="8" w:space="0" w:color="auto"/>
            <w:bottom w:val="single" w:sz="8" w:space="0" w:color="auto"/>
            <w:insideH w:val="single" w:sz="8" w:space="0" w:color="auto"/>
            <w:insideV w:val="single" w:sz="8" w:space="0" w:color="auto"/>
          </w:tblBorders>
        </w:tblPrEx>
        <w:tc>
          <w:tcPr>
            <w:tcW w:w="4866" w:type="dxa"/>
            <w:gridSpan w:val="4"/>
            <w:tcBorders>
              <w:right w:val="single" w:sz="8" w:space="0" w:color="auto"/>
            </w:tcBorders>
            <w:shd w:val="clear" w:color="auto" w:fill="FFFAEF"/>
          </w:tcPr>
          <w:p w14:paraId="21215249" w14:textId="1E597759" w:rsidR="00A07192" w:rsidRPr="00A07192" w:rsidRDefault="000E730C" w:rsidP="00A07192">
            <w:pPr>
              <w:spacing w:before="40" w:after="40"/>
              <w:jc w:val="center"/>
              <w:rPr>
                <w:b/>
                <w:sz w:val="18"/>
                <w:szCs w:val="18"/>
                <w:u w:val="single"/>
              </w:rPr>
            </w:pPr>
            <w:r>
              <w:rPr>
                <w:b/>
                <w:sz w:val="20"/>
                <w:szCs w:val="20"/>
                <w:u w:val="single"/>
              </w:rPr>
              <w:lastRenderedPageBreak/>
              <w:t xml:space="preserve">Greatest Strengths </w:t>
            </w:r>
            <w:r w:rsidR="00403538">
              <w:rPr>
                <w:b/>
                <w:sz w:val="20"/>
                <w:szCs w:val="20"/>
                <w:u w:val="single"/>
              </w:rPr>
              <w:t>within Cross-Sector Partnerships</w:t>
            </w:r>
          </w:p>
          <w:p w14:paraId="165E89F2" w14:textId="77777777" w:rsidR="00A07192" w:rsidRDefault="00A07192" w:rsidP="00364C8A">
            <w:pPr>
              <w:spacing w:before="40" w:after="40"/>
              <w:rPr>
                <w:sz w:val="18"/>
                <w:szCs w:val="18"/>
              </w:rPr>
            </w:pPr>
          </w:p>
          <w:p w14:paraId="43DED112" w14:textId="77777777" w:rsidR="00A07192" w:rsidRDefault="00A07192" w:rsidP="00364C8A">
            <w:pPr>
              <w:spacing w:before="40" w:after="40"/>
              <w:rPr>
                <w:sz w:val="18"/>
                <w:szCs w:val="18"/>
              </w:rPr>
            </w:pPr>
          </w:p>
          <w:p w14:paraId="5607764E" w14:textId="77777777" w:rsidR="00A07192" w:rsidRDefault="00A07192" w:rsidP="00364C8A">
            <w:pPr>
              <w:spacing w:before="40" w:after="40"/>
              <w:rPr>
                <w:sz w:val="18"/>
                <w:szCs w:val="18"/>
              </w:rPr>
            </w:pPr>
          </w:p>
          <w:p w14:paraId="77527536" w14:textId="77777777" w:rsidR="00A07192" w:rsidRDefault="00A07192" w:rsidP="00364C8A">
            <w:pPr>
              <w:spacing w:before="40" w:after="40"/>
              <w:rPr>
                <w:sz w:val="18"/>
                <w:szCs w:val="18"/>
              </w:rPr>
            </w:pPr>
          </w:p>
          <w:p w14:paraId="31678185" w14:textId="77777777" w:rsidR="00A07192" w:rsidRDefault="00A07192" w:rsidP="00364C8A">
            <w:pPr>
              <w:spacing w:before="40" w:after="40"/>
              <w:rPr>
                <w:sz w:val="18"/>
                <w:szCs w:val="18"/>
              </w:rPr>
            </w:pPr>
          </w:p>
          <w:p w14:paraId="631AAAF2" w14:textId="77777777" w:rsidR="00DB2D68" w:rsidRDefault="00DB2D68" w:rsidP="00364C8A">
            <w:pPr>
              <w:spacing w:before="40" w:after="40"/>
              <w:rPr>
                <w:sz w:val="18"/>
                <w:szCs w:val="18"/>
              </w:rPr>
            </w:pPr>
          </w:p>
          <w:p w14:paraId="208389F4" w14:textId="77777777" w:rsidR="00C6076A" w:rsidRDefault="00C6076A" w:rsidP="00364C8A">
            <w:pPr>
              <w:spacing w:before="40" w:after="40"/>
              <w:rPr>
                <w:sz w:val="18"/>
                <w:szCs w:val="18"/>
              </w:rPr>
            </w:pPr>
          </w:p>
          <w:p w14:paraId="29043858" w14:textId="77777777" w:rsidR="00C6076A" w:rsidRDefault="00C6076A" w:rsidP="00364C8A">
            <w:pPr>
              <w:spacing w:before="40" w:after="40"/>
              <w:rPr>
                <w:sz w:val="18"/>
                <w:szCs w:val="18"/>
              </w:rPr>
            </w:pPr>
          </w:p>
          <w:p w14:paraId="68F5A702" w14:textId="77777777" w:rsidR="00C6076A" w:rsidRDefault="00C6076A" w:rsidP="00364C8A">
            <w:pPr>
              <w:spacing w:before="40" w:after="40"/>
              <w:rPr>
                <w:sz w:val="18"/>
                <w:szCs w:val="18"/>
              </w:rPr>
            </w:pPr>
          </w:p>
          <w:p w14:paraId="45D17EA2" w14:textId="77777777" w:rsidR="00C6076A" w:rsidRDefault="00C6076A" w:rsidP="00364C8A">
            <w:pPr>
              <w:spacing w:before="40" w:after="40"/>
              <w:rPr>
                <w:sz w:val="18"/>
                <w:szCs w:val="18"/>
              </w:rPr>
            </w:pPr>
          </w:p>
          <w:p w14:paraId="7927D77C" w14:textId="77777777" w:rsidR="00C6076A" w:rsidRDefault="00C6076A" w:rsidP="00364C8A">
            <w:pPr>
              <w:spacing w:before="40" w:after="40"/>
              <w:rPr>
                <w:sz w:val="18"/>
                <w:szCs w:val="18"/>
              </w:rPr>
            </w:pPr>
          </w:p>
          <w:p w14:paraId="18711BD8" w14:textId="77777777" w:rsidR="00C6076A" w:rsidRDefault="00C6076A" w:rsidP="00364C8A">
            <w:pPr>
              <w:spacing w:before="40" w:after="40"/>
              <w:rPr>
                <w:sz w:val="18"/>
                <w:szCs w:val="18"/>
              </w:rPr>
            </w:pPr>
          </w:p>
          <w:p w14:paraId="04E43249" w14:textId="77777777" w:rsidR="00C6076A" w:rsidRDefault="00C6076A" w:rsidP="00364C8A">
            <w:pPr>
              <w:spacing w:before="40" w:after="40"/>
              <w:rPr>
                <w:sz w:val="18"/>
                <w:szCs w:val="18"/>
              </w:rPr>
            </w:pPr>
          </w:p>
          <w:p w14:paraId="111F37AF" w14:textId="77777777" w:rsidR="00C6076A" w:rsidRDefault="00C6076A" w:rsidP="00364C8A">
            <w:pPr>
              <w:spacing w:before="40" w:after="40"/>
              <w:rPr>
                <w:sz w:val="18"/>
                <w:szCs w:val="18"/>
              </w:rPr>
            </w:pPr>
          </w:p>
          <w:p w14:paraId="48C84680" w14:textId="77777777" w:rsidR="00C6076A" w:rsidRDefault="00C6076A" w:rsidP="00364C8A">
            <w:pPr>
              <w:spacing w:before="40" w:after="40"/>
              <w:rPr>
                <w:sz w:val="18"/>
                <w:szCs w:val="18"/>
              </w:rPr>
            </w:pPr>
          </w:p>
          <w:p w14:paraId="74D09722" w14:textId="77777777" w:rsidR="00C6076A" w:rsidRDefault="00C6076A" w:rsidP="00364C8A">
            <w:pPr>
              <w:spacing w:before="40" w:after="40"/>
              <w:rPr>
                <w:sz w:val="18"/>
                <w:szCs w:val="18"/>
              </w:rPr>
            </w:pPr>
          </w:p>
          <w:p w14:paraId="7E6438E7" w14:textId="77777777" w:rsidR="00C6076A" w:rsidRDefault="00C6076A" w:rsidP="00364C8A">
            <w:pPr>
              <w:spacing w:before="40" w:after="40"/>
              <w:rPr>
                <w:sz w:val="18"/>
                <w:szCs w:val="18"/>
              </w:rPr>
            </w:pPr>
          </w:p>
          <w:p w14:paraId="6AE08A2E" w14:textId="0142E552" w:rsidR="00C6076A" w:rsidRDefault="00C6076A" w:rsidP="00364C8A">
            <w:pPr>
              <w:spacing w:before="40" w:after="40"/>
              <w:rPr>
                <w:sz w:val="18"/>
                <w:szCs w:val="18"/>
              </w:rPr>
            </w:pPr>
          </w:p>
        </w:tc>
        <w:tc>
          <w:tcPr>
            <w:tcW w:w="4866" w:type="dxa"/>
            <w:gridSpan w:val="3"/>
            <w:tcBorders>
              <w:right w:val="single" w:sz="8" w:space="0" w:color="auto"/>
            </w:tcBorders>
            <w:shd w:val="clear" w:color="auto" w:fill="FFFAEF"/>
          </w:tcPr>
          <w:p w14:paraId="4321EFC3" w14:textId="1D2D37D8" w:rsidR="00A07192" w:rsidRPr="00C57918" w:rsidRDefault="00A07192" w:rsidP="00A07192">
            <w:pPr>
              <w:spacing w:before="40" w:after="40"/>
              <w:jc w:val="center"/>
              <w:rPr>
                <w:sz w:val="18"/>
                <w:szCs w:val="18"/>
              </w:rPr>
            </w:pPr>
            <w:r w:rsidRPr="00ED64CA">
              <w:rPr>
                <w:b/>
                <w:sz w:val="20"/>
                <w:szCs w:val="20"/>
                <w:u w:val="single"/>
              </w:rPr>
              <w:t xml:space="preserve">Key Challenges </w:t>
            </w:r>
            <w:r w:rsidR="00403538">
              <w:rPr>
                <w:b/>
                <w:sz w:val="20"/>
                <w:szCs w:val="20"/>
                <w:u w:val="single"/>
              </w:rPr>
              <w:t>within Cross-Sector Partnerships</w:t>
            </w:r>
          </w:p>
          <w:p w14:paraId="07F7D8CC" w14:textId="25723B6D" w:rsidR="00A07192" w:rsidRPr="00C57918" w:rsidRDefault="00A07192" w:rsidP="00A07192">
            <w:pPr>
              <w:spacing w:before="40" w:after="40"/>
              <w:rPr>
                <w:i/>
                <w:sz w:val="18"/>
                <w:szCs w:val="18"/>
              </w:rPr>
            </w:pPr>
            <w:r w:rsidRPr="00C57918">
              <w:rPr>
                <w:i/>
                <w:sz w:val="18"/>
                <w:szCs w:val="18"/>
              </w:rPr>
              <w:t xml:space="preserve"> </w:t>
            </w:r>
          </w:p>
          <w:p w14:paraId="4A44AC20" w14:textId="77777777" w:rsidR="00A07192" w:rsidRDefault="00A07192" w:rsidP="00364C8A">
            <w:pPr>
              <w:spacing w:before="40" w:after="40"/>
              <w:rPr>
                <w:sz w:val="18"/>
                <w:szCs w:val="18"/>
              </w:rPr>
            </w:pPr>
          </w:p>
        </w:tc>
        <w:tc>
          <w:tcPr>
            <w:tcW w:w="4866" w:type="dxa"/>
            <w:gridSpan w:val="3"/>
            <w:tcBorders>
              <w:right w:val="single" w:sz="8" w:space="0" w:color="auto"/>
            </w:tcBorders>
            <w:shd w:val="clear" w:color="auto" w:fill="FFFAEF"/>
          </w:tcPr>
          <w:p w14:paraId="478C334C" w14:textId="005F0A6B" w:rsidR="00A07192" w:rsidRPr="00ED64CA" w:rsidRDefault="000E730C" w:rsidP="00A07192">
            <w:pPr>
              <w:spacing w:before="40" w:after="40"/>
              <w:jc w:val="center"/>
              <w:rPr>
                <w:b/>
                <w:sz w:val="20"/>
                <w:szCs w:val="20"/>
                <w:u w:val="single"/>
              </w:rPr>
            </w:pPr>
            <w:r>
              <w:rPr>
                <w:b/>
                <w:sz w:val="20"/>
                <w:szCs w:val="20"/>
                <w:u w:val="single"/>
              </w:rPr>
              <w:t xml:space="preserve">Top Priorities for </w:t>
            </w:r>
            <w:r w:rsidR="00403538">
              <w:rPr>
                <w:b/>
                <w:sz w:val="20"/>
                <w:szCs w:val="20"/>
                <w:u w:val="single"/>
              </w:rPr>
              <w:t>Cross-Sector Partnerships</w:t>
            </w:r>
          </w:p>
        </w:tc>
      </w:tr>
    </w:tbl>
    <w:p w14:paraId="7EE09257" w14:textId="77777777" w:rsidR="005F66C8" w:rsidRDefault="005F66C8"/>
    <w:p w14:paraId="2E49200D" w14:textId="77777777" w:rsidR="00ED64CA" w:rsidRDefault="00ED64CA">
      <w:r>
        <w:br w:type="page"/>
      </w:r>
    </w:p>
    <w:tbl>
      <w:tblPr>
        <w:tblStyle w:val="TableGrid"/>
        <w:tblW w:w="14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60"/>
        <w:gridCol w:w="1038"/>
        <w:gridCol w:w="780"/>
        <w:gridCol w:w="1638"/>
        <w:gridCol w:w="2418"/>
        <w:gridCol w:w="840"/>
        <w:gridCol w:w="1578"/>
        <w:gridCol w:w="415"/>
        <w:gridCol w:w="2903"/>
      </w:tblGrid>
      <w:tr w:rsidR="00104CBA" w14:paraId="271ABBAC" w14:textId="77777777" w:rsidTr="009C77AF">
        <w:tc>
          <w:tcPr>
            <w:tcW w:w="14688"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7CF2049" w14:textId="58AADF66" w:rsidR="00104CBA" w:rsidRPr="004B5A46" w:rsidRDefault="008B3B11" w:rsidP="00104CBA">
            <w:pPr>
              <w:spacing w:before="40" w:after="40"/>
              <w:jc w:val="center"/>
              <w:rPr>
                <w:b/>
                <w:color w:val="002060"/>
                <w:sz w:val="20"/>
                <w:szCs w:val="20"/>
                <w:u w:val="single"/>
              </w:rPr>
            </w:pPr>
            <w:r w:rsidRPr="004B5A46">
              <w:rPr>
                <w:b/>
                <w:color w:val="002060"/>
                <w:sz w:val="20"/>
                <w:szCs w:val="20"/>
                <w:u w:val="single"/>
              </w:rPr>
              <w:lastRenderedPageBreak/>
              <w:t>Priority 1</w:t>
            </w:r>
            <w:r w:rsidR="00104CBA" w:rsidRPr="004B5A46">
              <w:rPr>
                <w:b/>
                <w:color w:val="002060"/>
                <w:sz w:val="20"/>
                <w:szCs w:val="20"/>
                <w:u w:val="single"/>
              </w:rPr>
              <w:t xml:space="preserve">: </w:t>
            </w:r>
            <w:r w:rsidR="00C57918" w:rsidRPr="004B5A46">
              <w:rPr>
                <w:b/>
                <w:color w:val="002060"/>
                <w:sz w:val="20"/>
                <w:szCs w:val="20"/>
                <w:u w:val="single"/>
              </w:rPr>
              <w:t xml:space="preserve">Rigor and </w:t>
            </w:r>
            <w:r w:rsidR="00104CBA" w:rsidRPr="004B5A46">
              <w:rPr>
                <w:b/>
                <w:color w:val="002060"/>
                <w:sz w:val="20"/>
                <w:szCs w:val="20"/>
                <w:u w:val="single"/>
              </w:rPr>
              <w:t>Quality</w:t>
            </w:r>
            <w:r w:rsidR="00C57918" w:rsidRPr="004B5A46">
              <w:rPr>
                <w:b/>
                <w:color w:val="002060"/>
                <w:sz w:val="20"/>
                <w:szCs w:val="20"/>
                <w:u w:val="single"/>
              </w:rPr>
              <w:t xml:space="preserve"> in</w:t>
            </w:r>
            <w:r w:rsidR="00104CBA" w:rsidRPr="004B5A46">
              <w:rPr>
                <w:b/>
                <w:color w:val="002060"/>
                <w:sz w:val="20"/>
                <w:szCs w:val="20"/>
                <w:u w:val="single"/>
              </w:rPr>
              <w:t xml:space="preserve"> Career Pathways</w:t>
            </w:r>
            <w:r w:rsidR="00C57918" w:rsidRPr="004B5A46">
              <w:rPr>
                <w:b/>
                <w:color w:val="002060"/>
                <w:sz w:val="20"/>
                <w:szCs w:val="20"/>
                <w:u w:val="single"/>
              </w:rPr>
              <w:t xml:space="preserve"> for ALL Students</w:t>
            </w:r>
          </w:p>
          <w:p w14:paraId="70166B2E" w14:textId="1F6C517D" w:rsidR="00104CBA" w:rsidRPr="00C57918" w:rsidRDefault="008B3B11" w:rsidP="000A5040">
            <w:pPr>
              <w:spacing w:before="40" w:after="40"/>
              <w:rPr>
                <w:sz w:val="18"/>
                <w:szCs w:val="18"/>
              </w:rPr>
            </w:pPr>
            <w:r w:rsidRPr="004B5A46">
              <w:rPr>
                <w:color w:val="002060"/>
                <w:sz w:val="18"/>
                <w:szCs w:val="18"/>
              </w:rPr>
              <w:t>Strengthen</w:t>
            </w:r>
            <w:r w:rsidR="00815A2C" w:rsidRPr="004B5A46">
              <w:rPr>
                <w:color w:val="002060"/>
                <w:sz w:val="18"/>
                <w:szCs w:val="18"/>
              </w:rPr>
              <w:t xml:space="preserve"> the quality and rigor of career pathways - including scaling down or phasing out those that don’t lead to credentials with labor market value - and </w:t>
            </w:r>
            <w:r w:rsidR="000A5040">
              <w:rPr>
                <w:color w:val="002060"/>
                <w:sz w:val="18"/>
                <w:szCs w:val="18"/>
              </w:rPr>
              <w:t>ensure</w:t>
            </w:r>
            <w:r w:rsidR="000A5040" w:rsidRPr="004B5A46">
              <w:rPr>
                <w:color w:val="002060"/>
                <w:sz w:val="18"/>
                <w:szCs w:val="18"/>
              </w:rPr>
              <w:t xml:space="preserve"> </w:t>
            </w:r>
            <w:r w:rsidR="00815A2C" w:rsidRPr="004B5A46">
              <w:rPr>
                <w:color w:val="002060"/>
                <w:sz w:val="18"/>
                <w:szCs w:val="18"/>
              </w:rPr>
              <w:t xml:space="preserve">those pathways </w:t>
            </w:r>
            <w:r w:rsidR="000A5040">
              <w:rPr>
                <w:color w:val="002060"/>
                <w:sz w:val="18"/>
                <w:szCs w:val="18"/>
              </w:rPr>
              <w:t xml:space="preserve">are </w:t>
            </w:r>
            <w:r w:rsidR="00815A2C" w:rsidRPr="004B5A46">
              <w:rPr>
                <w:color w:val="002060"/>
                <w:sz w:val="18"/>
                <w:szCs w:val="18"/>
              </w:rPr>
              <w:t xml:space="preserve">widely available to and accessed by all students in </w:t>
            </w:r>
            <w:r w:rsidRPr="004B5A46">
              <w:rPr>
                <w:color w:val="002060"/>
                <w:sz w:val="18"/>
                <w:szCs w:val="18"/>
              </w:rPr>
              <w:t>comprehensive and technical high schools and in colleges</w:t>
            </w:r>
            <w:r w:rsidR="00815A2C" w:rsidRPr="004B5A46">
              <w:rPr>
                <w:color w:val="002060"/>
                <w:sz w:val="18"/>
                <w:szCs w:val="18"/>
              </w:rPr>
              <w:t xml:space="preserve">, especially </w:t>
            </w:r>
            <w:r w:rsidR="000A5040">
              <w:rPr>
                <w:color w:val="002060"/>
                <w:sz w:val="18"/>
                <w:szCs w:val="18"/>
              </w:rPr>
              <w:t>by</w:t>
            </w:r>
            <w:r w:rsidR="000A5040" w:rsidRPr="004B5A46">
              <w:rPr>
                <w:color w:val="002060"/>
                <w:sz w:val="18"/>
                <w:szCs w:val="18"/>
              </w:rPr>
              <w:t xml:space="preserve"> </w:t>
            </w:r>
            <w:r w:rsidRPr="004B5A46">
              <w:rPr>
                <w:color w:val="002060"/>
                <w:sz w:val="18"/>
                <w:szCs w:val="18"/>
              </w:rPr>
              <w:t>underrepresented</w:t>
            </w:r>
            <w:r w:rsidR="00815A2C" w:rsidRPr="004B5A46">
              <w:rPr>
                <w:color w:val="002060"/>
                <w:sz w:val="18"/>
                <w:szCs w:val="18"/>
              </w:rPr>
              <w:t xml:space="preserve"> populations</w:t>
            </w:r>
            <w:r w:rsidR="003D29AE">
              <w:rPr>
                <w:color w:val="002060"/>
                <w:sz w:val="18"/>
                <w:szCs w:val="18"/>
              </w:rPr>
              <w:t>.</w:t>
            </w:r>
            <w:r w:rsidR="00815A2C" w:rsidRPr="004B5A46">
              <w:rPr>
                <w:color w:val="002060"/>
                <w:sz w:val="18"/>
                <w:szCs w:val="18"/>
              </w:rPr>
              <w:t xml:space="preserve"> </w:t>
            </w:r>
          </w:p>
        </w:tc>
      </w:tr>
      <w:tr w:rsidR="00104CBA" w14:paraId="577CBBFF" w14:textId="77777777" w:rsidTr="009C77AF">
        <w:tc>
          <w:tcPr>
            <w:tcW w:w="2418" w:type="dxa"/>
            <w:tcBorders>
              <w:top w:val="single" w:sz="8" w:space="0" w:color="auto"/>
            </w:tcBorders>
            <w:shd w:val="clear" w:color="auto" w:fill="auto"/>
          </w:tcPr>
          <w:p w14:paraId="479E87FB" w14:textId="77777777" w:rsidR="00104CBA" w:rsidRPr="00462EC2" w:rsidRDefault="00104CBA" w:rsidP="00DF724D">
            <w:pPr>
              <w:jc w:val="center"/>
              <w:rPr>
                <w:b/>
                <w:sz w:val="12"/>
                <w:szCs w:val="12"/>
                <w:u w:val="single"/>
              </w:rPr>
            </w:pPr>
          </w:p>
        </w:tc>
        <w:tc>
          <w:tcPr>
            <w:tcW w:w="1698" w:type="dxa"/>
            <w:gridSpan w:val="2"/>
            <w:tcBorders>
              <w:top w:val="single" w:sz="8" w:space="0" w:color="auto"/>
            </w:tcBorders>
            <w:shd w:val="clear" w:color="auto" w:fill="auto"/>
          </w:tcPr>
          <w:p w14:paraId="27D38180" w14:textId="77777777" w:rsidR="00104CBA" w:rsidRPr="00462EC2" w:rsidRDefault="00104CBA" w:rsidP="00DF724D">
            <w:pPr>
              <w:jc w:val="center"/>
              <w:rPr>
                <w:b/>
                <w:sz w:val="12"/>
                <w:szCs w:val="12"/>
                <w:u w:val="single"/>
              </w:rPr>
            </w:pPr>
          </w:p>
        </w:tc>
        <w:tc>
          <w:tcPr>
            <w:tcW w:w="2418" w:type="dxa"/>
            <w:gridSpan w:val="2"/>
            <w:tcBorders>
              <w:top w:val="single" w:sz="8" w:space="0" w:color="auto"/>
            </w:tcBorders>
            <w:shd w:val="clear" w:color="auto" w:fill="auto"/>
          </w:tcPr>
          <w:p w14:paraId="781BD2C1" w14:textId="77777777" w:rsidR="00104CBA" w:rsidRPr="00462EC2" w:rsidRDefault="00104CBA" w:rsidP="00DF724D">
            <w:pPr>
              <w:jc w:val="center"/>
              <w:rPr>
                <w:b/>
                <w:sz w:val="12"/>
                <w:szCs w:val="12"/>
                <w:u w:val="single"/>
              </w:rPr>
            </w:pPr>
          </w:p>
        </w:tc>
        <w:tc>
          <w:tcPr>
            <w:tcW w:w="2418" w:type="dxa"/>
            <w:tcBorders>
              <w:top w:val="single" w:sz="8" w:space="0" w:color="auto"/>
            </w:tcBorders>
            <w:shd w:val="clear" w:color="auto" w:fill="auto"/>
          </w:tcPr>
          <w:p w14:paraId="5E712C59" w14:textId="77777777" w:rsidR="00104CBA" w:rsidRPr="00462EC2" w:rsidRDefault="00104CBA" w:rsidP="00DF724D">
            <w:pPr>
              <w:jc w:val="center"/>
              <w:rPr>
                <w:b/>
                <w:sz w:val="12"/>
                <w:szCs w:val="12"/>
                <w:u w:val="single"/>
              </w:rPr>
            </w:pPr>
          </w:p>
        </w:tc>
        <w:tc>
          <w:tcPr>
            <w:tcW w:w="2418" w:type="dxa"/>
            <w:gridSpan w:val="2"/>
            <w:tcBorders>
              <w:top w:val="single" w:sz="8" w:space="0" w:color="auto"/>
            </w:tcBorders>
            <w:shd w:val="clear" w:color="auto" w:fill="auto"/>
          </w:tcPr>
          <w:p w14:paraId="36BF4473" w14:textId="77777777" w:rsidR="00104CBA" w:rsidRPr="00462EC2" w:rsidRDefault="00104CBA" w:rsidP="00DF724D">
            <w:pPr>
              <w:jc w:val="center"/>
              <w:rPr>
                <w:b/>
                <w:sz w:val="12"/>
                <w:szCs w:val="12"/>
                <w:u w:val="single"/>
              </w:rPr>
            </w:pPr>
          </w:p>
        </w:tc>
        <w:tc>
          <w:tcPr>
            <w:tcW w:w="3318" w:type="dxa"/>
            <w:gridSpan w:val="2"/>
            <w:tcBorders>
              <w:top w:val="single" w:sz="8" w:space="0" w:color="auto"/>
            </w:tcBorders>
            <w:shd w:val="clear" w:color="auto" w:fill="auto"/>
          </w:tcPr>
          <w:p w14:paraId="62B1BBC1" w14:textId="77777777" w:rsidR="00104CBA" w:rsidRPr="00462EC2" w:rsidRDefault="00104CBA" w:rsidP="00DF724D">
            <w:pPr>
              <w:jc w:val="center"/>
              <w:rPr>
                <w:b/>
                <w:sz w:val="12"/>
                <w:szCs w:val="12"/>
                <w:u w:val="single"/>
              </w:rPr>
            </w:pPr>
          </w:p>
        </w:tc>
      </w:tr>
      <w:tr w:rsidR="003760F7" w14:paraId="6BF554E2" w14:textId="77777777" w:rsidTr="00E010DB">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0FE5B2B2" w14:textId="6C6FE141" w:rsidR="003760F7" w:rsidRPr="003760F7" w:rsidRDefault="003760F7" w:rsidP="003760F7">
            <w:pPr>
              <w:spacing w:before="40" w:after="40"/>
              <w:jc w:val="center"/>
              <w:rPr>
                <w:b/>
                <w:sz w:val="20"/>
                <w:szCs w:val="20"/>
              </w:rPr>
            </w:pPr>
            <w:r w:rsidRPr="003760F7">
              <w:rPr>
                <w:b/>
                <w:sz w:val="20"/>
                <w:szCs w:val="20"/>
              </w:rPr>
              <w:t>Target Outcomes</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7A050A5D" w14:textId="6F03AA43" w:rsidR="003760F7" w:rsidRPr="003760F7" w:rsidRDefault="003760F7" w:rsidP="003760F7">
            <w:pPr>
              <w:spacing w:before="40" w:after="40"/>
              <w:jc w:val="center"/>
              <w:rPr>
                <w:b/>
                <w:sz w:val="20"/>
                <w:szCs w:val="20"/>
              </w:rPr>
            </w:pPr>
            <w:r w:rsidRPr="003760F7">
              <w:rPr>
                <w:b/>
                <w:sz w:val="20"/>
                <w:szCs w:val="20"/>
              </w:rPr>
              <w:t>Supporting Criteria</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2E6B785D" w14:textId="6840741B" w:rsidR="003760F7" w:rsidRPr="000D2E1F" w:rsidRDefault="003760F7" w:rsidP="00E010DB">
            <w:pPr>
              <w:spacing w:before="40" w:after="40"/>
              <w:jc w:val="center"/>
              <w:rPr>
                <w:b/>
                <w:bCs/>
                <w:sz w:val="20"/>
                <w:szCs w:val="20"/>
              </w:rPr>
            </w:pPr>
            <w:r w:rsidRPr="000D2E1F">
              <w:rPr>
                <w:b/>
                <w:bCs/>
                <w:sz w:val="20"/>
                <w:szCs w:val="20"/>
              </w:rPr>
              <w:t>Current Status</w:t>
            </w:r>
          </w:p>
        </w:tc>
      </w:tr>
      <w:tr w:rsidR="00E010DB" w14:paraId="0AA4B6FF" w14:textId="77777777" w:rsidTr="00E010DB">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441CD76D" w14:textId="591F6324" w:rsidR="00E010DB" w:rsidRDefault="00E010DB" w:rsidP="003162E6">
            <w:pPr>
              <w:spacing w:beforeLines="40" w:before="96" w:afterLines="40" w:after="96"/>
              <w:ind w:left="360" w:hanging="331"/>
              <w:rPr>
                <w:sz w:val="18"/>
                <w:szCs w:val="18"/>
              </w:rPr>
            </w:pPr>
            <w:r>
              <w:rPr>
                <w:sz w:val="18"/>
                <w:szCs w:val="18"/>
              </w:rPr>
              <w:t>1</w:t>
            </w:r>
            <w:r w:rsidRPr="003B6205">
              <w:rPr>
                <w:sz w:val="18"/>
                <w:szCs w:val="18"/>
              </w:rPr>
              <w:t xml:space="preserve">a.   </w:t>
            </w:r>
            <w:r>
              <w:rPr>
                <w:b/>
                <w:sz w:val="18"/>
                <w:szCs w:val="18"/>
              </w:rPr>
              <w:t>Alignment of pathways and associated credentials with high-value opportunities</w:t>
            </w:r>
            <w:r w:rsidRPr="003B6205">
              <w:rPr>
                <w:b/>
                <w:sz w:val="18"/>
                <w:szCs w:val="18"/>
              </w:rPr>
              <w:t xml:space="preserve">: </w:t>
            </w:r>
            <w:r>
              <w:rPr>
                <w:sz w:val="18"/>
                <w:szCs w:val="18"/>
              </w:rPr>
              <w:t>Data</w:t>
            </w:r>
            <w:r w:rsidRPr="00464514">
              <w:rPr>
                <w:sz w:val="18"/>
                <w:szCs w:val="18"/>
              </w:rPr>
              <w:t>-driven</w:t>
            </w:r>
            <w:r>
              <w:rPr>
                <w:sz w:val="18"/>
                <w:szCs w:val="18"/>
              </w:rPr>
              <w:t xml:space="preserve"> and employer-validated</w:t>
            </w:r>
            <w:r w:rsidRPr="00464514">
              <w:rPr>
                <w:sz w:val="18"/>
                <w:szCs w:val="18"/>
              </w:rPr>
              <w:t xml:space="preserve"> processes </w:t>
            </w:r>
            <w:r>
              <w:rPr>
                <w:sz w:val="18"/>
                <w:szCs w:val="18"/>
              </w:rPr>
              <w:t>are in place to determine in-demand, high-skill, high-wage</w:t>
            </w:r>
            <w:r w:rsidRPr="00464514">
              <w:rPr>
                <w:sz w:val="18"/>
                <w:szCs w:val="18"/>
              </w:rPr>
              <w:t xml:space="preserve"> industry sectors with which career pathways and </w:t>
            </w:r>
            <w:r>
              <w:rPr>
                <w:sz w:val="18"/>
                <w:szCs w:val="18"/>
              </w:rPr>
              <w:t>their associated credentials must</w:t>
            </w:r>
            <w:r w:rsidRPr="00464514">
              <w:rPr>
                <w:sz w:val="18"/>
                <w:szCs w:val="18"/>
              </w:rPr>
              <w:t xml:space="preserve"> be aligned</w:t>
            </w:r>
            <w:r w:rsidR="005C578A">
              <w:rPr>
                <w:sz w:val="18"/>
                <w:szCs w:val="18"/>
              </w:rPr>
              <w:t>, particularly in the post-COVID-19 economy</w:t>
            </w:r>
          </w:p>
          <w:p w14:paraId="5A66941B" w14:textId="2C4CA3CE" w:rsidR="00E010DB" w:rsidRDefault="00E010DB" w:rsidP="003162E6">
            <w:pPr>
              <w:spacing w:beforeLines="40" w:before="96" w:afterLines="40" w:after="96"/>
              <w:ind w:left="360" w:hanging="331"/>
              <w:rPr>
                <w:sz w:val="18"/>
                <w:szCs w:val="18"/>
              </w:rPr>
            </w:pPr>
          </w:p>
          <w:p w14:paraId="37F35C21" w14:textId="77777777" w:rsidR="000D2E1F" w:rsidRDefault="000D2E1F" w:rsidP="003162E6">
            <w:pPr>
              <w:spacing w:beforeLines="40" w:before="96" w:afterLines="40" w:after="96"/>
              <w:ind w:left="360" w:hanging="331"/>
              <w:rPr>
                <w:sz w:val="18"/>
                <w:szCs w:val="18"/>
              </w:rPr>
            </w:pPr>
          </w:p>
          <w:p w14:paraId="4ED93350" w14:textId="77777777" w:rsidR="000D2E1F" w:rsidRDefault="000D2E1F" w:rsidP="003162E6">
            <w:pPr>
              <w:spacing w:beforeLines="40" w:before="96" w:afterLines="40" w:after="96"/>
              <w:ind w:left="360" w:hanging="331"/>
              <w:rPr>
                <w:sz w:val="18"/>
                <w:szCs w:val="18"/>
              </w:rPr>
            </w:pPr>
          </w:p>
          <w:p w14:paraId="78173C19" w14:textId="18D908B0" w:rsidR="00E010DB" w:rsidRPr="00E6575C" w:rsidRDefault="00E010DB" w:rsidP="003162E6">
            <w:pPr>
              <w:spacing w:beforeLines="40" w:before="96" w:afterLines="40" w:after="96"/>
              <w:rPr>
                <w:sz w:val="18"/>
                <w:szCs w:val="18"/>
              </w:rPr>
            </w:pP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135CAC90" w14:textId="58007A01" w:rsidR="00E010DB" w:rsidRPr="00A521DF" w:rsidRDefault="00E010DB" w:rsidP="003162E6">
            <w:pPr>
              <w:spacing w:beforeLines="40" w:before="96" w:afterLines="40" w:after="96"/>
              <w:rPr>
                <w:b/>
                <w:sz w:val="20"/>
                <w:szCs w:val="20"/>
              </w:rPr>
            </w:pPr>
            <w:r w:rsidRPr="00A521DF">
              <w:rPr>
                <w:b/>
                <w:sz w:val="20"/>
                <w:szCs w:val="20"/>
              </w:rPr>
              <w:t>Target outcome 1a: Alignment of pathways with labor market need</w:t>
            </w:r>
          </w:p>
          <w:p w14:paraId="6554D937" w14:textId="26672FD7" w:rsidR="00E010DB" w:rsidRDefault="00E010DB" w:rsidP="00A44D7D">
            <w:pPr>
              <w:pStyle w:val="ListParagraph"/>
              <w:numPr>
                <w:ilvl w:val="0"/>
                <w:numId w:val="3"/>
              </w:numPr>
              <w:spacing w:beforeLines="40" w:before="96" w:afterLines="40" w:after="96"/>
              <w:ind w:left="405"/>
              <w:rPr>
                <w:sz w:val="18"/>
                <w:szCs w:val="18"/>
              </w:rPr>
            </w:pPr>
            <w:r>
              <w:rPr>
                <w:sz w:val="18"/>
                <w:szCs w:val="18"/>
              </w:rPr>
              <w:t xml:space="preserve">State K-12 and </w:t>
            </w:r>
            <w:r w:rsidR="00497913">
              <w:rPr>
                <w:sz w:val="18"/>
                <w:szCs w:val="18"/>
              </w:rPr>
              <w:t>higher</w:t>
            </w:r>
            <w:r>
              <w:rPr>
                <w:sz w:val="18"/>
                <w:szCs w:val="18"/>
              </w:rPr>
              <w:t xml:space="preserve"> education agencies collaboratively set rigorous thresholds for classifying </w:t>
            </w:r>
            <w:r w:rsidR="00497913">
              <w:rPr>
                <w:sz w:val="18"/>
                <w:szCs w:val="18"/>
              </w:rPr>
              <w:br/>
            </w:r>
            <w:r>
              <w:rPr>
                <w:sz w:val="18"/>
                <w:szCs w:val="18"/>
              </w:rPr>
              <w:t>in-demand, high-skill, family-sustaining wage industry sectors and occupations and differentiate those thresholds according to regional economies within the state.</w:t>
            </w:r>
            <w:r w:rsidR="00A521DF">
              <w:rPr>
                <w:sz w:val="18"/>
                <w:szCs w:val="18"/>
              </w:rPr>
              <w:br/>
            </w:r>
          </w:p>
          <w:p w14:paraId="031E0912" w14:textId="414AD330" w:rsidR="00E010DB" w:rsidRDefault="00E010DB" w:rsidP="00A44D7D">
            <w:pPr>
              <w:pStyle w:val="ListParagraph"/>
              <w:numPr>
                <w:ilvl w:val="0"/>
                <w:numId w:val="3"/>
              </w:numPr>
              <w:spacing w:beforeLines="40" w:before="96" w:afterLines="40" w:after="96"/>
              <w:ind w:left="405"/>
              <w:rPr>
                <w:sz w:val="18"/>
                <w:szCs w:val="18"/>
              </w:rPr>
            </w:pPr>
            <w:r>
              <w:rPr>
                <w:sz w:val="18"/>
                <w:szCs w:val="18"/>
              </w:rPr>
              <w:t xml:space="preserve">State K-12 and </w:t>
            </w:r>
            <w:r w:rsidR="00497913">
              <w:rPr>
                <w:sz w:val="18"/>
                <w:szCs w:val="18"/>
              </w:rPr>
              <w:t>higher</w:t>
            </w:r>
            <w:r>
              <w:rPr>
                <w:sz w:val="18"/>
                <w:szCs w:val="18"/>
              </w:rPr>
              <w:t xml:space="preserve"> education agencies collaboratively </w:t>
            </w:r>
            <w:r w:rsidR="00497913">
              <w:rPr>
                <w:sz w:val="18"/>
                <w:szCs w:val="18"/>
              </w:rPr>
              <w:t>analyze</w:t>
            </w:r>
            <w:r>
              <w:rPr>
                <w:sz w:val="18"/>
                <w:szCs w:val="18"/>
              </w:rPr>
              <w:t xml:space="preserve"> labor market information at least </w:t>
            </w:r>
            <w:r w:rsidR="00497913">
              <w:rPr>
                <w:sz w:val="18"/>
                <w:szCs w:val="18"/>
              </w:rPr>
              <w:t>every other year</w:t>
            </w:r>
            <w:r w:rsidR="005C578A">
              <w:rPr>
                <w:sz w:val="18"/>
                <w:szCs w:val="18"/>
              </w:rPr>
              <w:t xml:space="preserve"> – and more frequently in the immediate aftermath of COVID-19 -</w:t>
            </w:r>
            <w:r>
              <w:rPr>
                <w:sz w:val="18"/>
                <w:szCs w:val="18"/>
              </w:rPr>
              <w:t xml:space="preserve"> to identify in-demand, high-skill, family-sustaining wage industry sectors and occupations at state and regional levels.</w:t>
            </w:r>
            <w:r w:rsidR="00A521DF">
              <w:rPr>
                <w:sz w:val="18"/>
                <w:szCs w:val="18"/>
              </w:rPr>
              <w:br/>
            </w:r>
          </w:p>
          <w:p w14:paraId="324EB535" w14:textId="4A17F1C0" w:rsidR="00E010DB" w:rsidRDefault="00E010DB" w:rsidP="00A44D7D">
            <w:pPr>
              <w:pStyle w:val="ListParagraph"/>
              <w:numPr>
                <w:ilvl w:val="0"/>
                <w:numId w:val="3"/>
              </w:numPr>
              <w:spacing w:beforeLines="40" w:before="96" w:afterLines="40" w:after="96"/>
              <w:ind w:left="405"/>
              <w:rPr>
                <w:sz w:val="18"/>
                <w:szCs w:val="18"/>
              </w:rPr>
            </w:pPr>
            <w:r>
              <w:rPr>
                <w:sz w:val="18"/>
                <w:szCs w:val="18"/>
              </w:rPr>
              <w:t xml:space="preserve">State K-12 and </w:t>
            </w:r>
            <w:r w:rsidR="00497913">
              <w:rPr>
                <w:sz w:val="18"/>
                <w:szCs w:val="18"/>
              </w:rPr>
              <w:t>higher</w:t>
            </w:r>
            <w:r>
              <w:rPr>
                <w:sz w:val="18"/>
                <w:szCs w:val="18"/>
              </w:rPr>
              <w:t xml:space="preserve"> education agencies collaboratively analyze real-time labor market information at least </w:t>
            </w:r>
            <w:r w:rsidR="00497913">
              <w:rPr>
                <w:sz w:val="18"/>
                <w:szCs w:val="18"/>
              </w:rPr>
              <w:t>every other year</w:t>
            </w:r>
            <w:r w:rsidR="005C578A">
              <w:rPr>
                <w:sz w:val="18"/>
                <w:szCs w:val="18"/>
              </w:rPr>
              <w:t xml:space="preserve"> – and more frequently in the immediate aftermath of COVID-19 -</w:t>
            </w:r>
            <w:r>
              <w:rPr>
                <w:sz w:val="18"/>
                <w:szCs w:val="18"/>
              </w:rPr>
              <w:t xml:space="preserve"> to identify credentials that are essential to those in-demand, high-skill, family-sustaining wage sectors and occupations.</w:t>
            </w:r>
            <w:r w:rsidR="00A521DF">
              <w:rPr>
                <w:sz w:val="18"/>
                <w:szCs w:val="18"/>
              </w:rPr>
              <w:br/>
            </w:r>
          </w:p>
          <w:p w14:paraId="108A788B" w14:textId="1AA7700A" w:rsidR="00E010DB" w:rsidRDefault="00E010DB" w:rsidP="00A44D7D">
            <w:pPr>
              <w:pStyle w:val="ListParagraph"/>
              <w:numPr>
                <w:ilvl w:val="0"/>
                <w:numId w:val="3"/>
              </w:numPr>
              <w:spacing w:beforeLines="40" w:before="96" w:afterLines="40" w:after="96"/>
              <w:ind w:left="405"/>
              <w:rPr>
                <w:sz w:val="18"/>
                <w:szCs w:val="18"/>
              </w:rPr>
            </w:pPr>
            <w:r>
              <w:rPr>
                <w:sz w:val="18"/>
                <w:szCs w:val="18"/>
              </w:rPr>
              <w:t xml:space="preserve">State K-12 and </w:t>
            </w:r>
            <w:r w:rsidR="00497913">
              <w:rPr>
                <w:sz w:val="18"/>
                <w:szCs w:val="18"/>
              </w:rPr>
              <w:t>higher</w:t>
            </w:r>
            <w:r>
              <w:rPr>
                <w:sz w:val="18"/>
                <w:szCs w:val="18"/>
              </w:rPr>
              <w:t xml:space="preserve"> education agencies collaboratively </w:t>
            </w:r>
            <w:r w:rsidR="00FA1401">
              <w:rPr>
                <w:sz w:val="18"/>
                <w:szCs w:val="18"/>
              </w:rPr>
              <w:t xml:space="preserve">and regularly </w:t>
            </w:r>
            <w:r>
              <w:rPr>
                <w:sz w:val="18"/>
                <w:szCs w:val="18"/>
              </w:rPr>
              <w:t>engage industry leaders to validate the high-priority sectors, occupations, and credentials identified through data analysis.</w:t>
            </w:r>
            <w:r w:rsidR="00A521DF">
              <w:rPr>
                <w:sz w:val="18"/>
                <w:szCs w:val="18"/>
              </w:rPr>
              <w:br/>
            </w:r>
          </w:p>
          <w:p w14:paraId="541D4705" w14:textId="2985B942" w:rsidR="00E010DB" w:rsidRPr="003760F7" w:rsidRDefault="00E010DB" w:rsidP="00A44D7D">
            <w:pPr>
              <w:pStyle w:val="ListParagraph"/>
              <w:numPr>
                <w:ilvl w:val="0"/>
                <w:numId w:val="3"/>
              </w:numPr>
              <w:spacing w:beforeLines="40" w:before="96" w:afterLines="40" w:after="96"/>
              <w:ind w:left="405"/>
              <w:rPr>
                <w:sz w:val="18"/>
                <w:szCs w:val="18"/>
              </w:rPr>
            </w:pPr>
            <w:r>
              <w:rPr>
                <w:sz w:val="18"/>
                <w:szCs w:val="18"/>
              </w:rPr>
              <w:t xml:space="preserve">School districts and </w:t>
            </w:r>
            <w:r w:rsidR="00497913">
              <w:rPr>
                <w:sz w:val="18"/>
                <w:szCs w:val="18"/>
              </w:rPr>
              <w:t>postsecondary</w:t>
            </w:r>
            <w:r>
              <w:rPr>
                <w:sz w:val="18"/>
                <w:szCs w:val="18"/>
              </w:rPr>
              <w:t xml:space="preserve"> education institutions independently and systematically verify the industry sectors and associated credentials identified by the state as priority for their communities through</w:t>
            </w:r>
            <w:r w:rsidR="005C578A">
              <w:rPr>
                <w:sz w:val="18"/>
                <w:szCs w:val="18"/>
              </w:rPr>
              <w:t xml:space="preserve"> regular</w:t>
            </w:r>
            <w:r>
              <w:rPr>
                <w:sz w:val="18"/>
                <w:szCs w:val="18"/>
              </w:rPr>
              <w:t xml:space="preserve"> labor market data analyses and industry leader engagement.</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3D6EBAD4" w14:textId="5C022B9C" w:rsidR="00E010DB" w:rsidRDefault="00E010DB" w:rsidP="003162E6">
            <w:pPr>
              <w:spacing w:beforeLines="40" w:before="96" w:afterLines="40" w:after="96"/>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39C04D33" w14:textId="77777777" w:rsidTr="00497913">
              <w:tc>
                <w:tcPr>
                  <w:tcW w:w="652" w:type="dxa"/>
                </w:tcPr>
                <w:p w14:paraId="7C34797A" w14:textId="77777777" w:rsidR="00A521DF" w:rsidRPr="00ED64CA" w:rsidRDefault="008530DA" w:rsidP="00A521DF">
                  <w:pPr>
                    <w:spacing w:before="40" w:after="40"/>
                    <w:jc w:val="center"/>
                    <w:rPr>
                      <w:b/>
                      <w:bCs/>
                      <w:sz w:val="20"/>
                      <w:szCs w:val="20"/>
                    </w:rPr>
                  </w:pPr>
                  <w:sdt>
                    <w:sdtPr>
                      <w:rPr>
                        <w:b/>
                        <w:bCs/>
                        <w:sz w:val="20"/>
                        <w:szCs w:val="20"/>
                      </w:rPr>
                      <w:id w:val="1453516830"/>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04254ADD" w14:textId="77777777" w:rsidR="00A521DF" w:rsidRPr="00ED64CA" w:rsidRDefault="008530DA" w:rsidP="00A521DF">
                  <w:pPr>
                    <w:spacing w:before="40" w:after="40"/>
                    <w:jc w:val="center"/>
                    <w:rPr>
                      <w:b/>
                      <w:bCs/>
                      <w:sz w:val="20"/>
                      <w:szCs w:val="20"/>
                    </w:rPr>
                  </w:pPr>
                  <w:sdt>
                    <w:sdtPr>
                      <w:rPr>
                        <w:b/>
                        <w:bCs/>
                        <w:sz w:val="20"/>
                        <w:szCs w:val="20"/>
                      </w:rPr>
                      <w:id w:val="909660940"/>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25B5B869" w14:textId="77777777" w:rsidR="00A521DF" w:rsidRPr="00ED64CA" w:rsidRDefault="008530DA" w:rsidP="00A521DF">
                  <w:pPr>
                    <w:spacing w:before="40" w:after="40"/>
                    <w:jc w:val="center"/>
                    <w:rPr>
                      <w:b/>
                      <w:bCs/>
                      <w:sz w:val="20"/>
                      <w:szCs w:val="20"/>
                    </w:rPr>
                  </w:pPr>
                  <w:sdt>
                    <w:sdtPr>
                      <w:rPr>
                        <w:b/>
                        <w:bCs/>
                        <w:sz w:val="20"/>
                        <w:szCs w:val="20"/>
                      </w:rPr>
                      <w:id w:val="127521369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4770497E" w14:textId="77777777" w:rsidR="00A521DF" w:rsidRPr="00ED64CA" w:rsidRDefault="008530DA" w:rsidP="00A521DF">
                  <w:pPr>
                    <w:spacing w:before="40" w:after="40"/>
                    <w:jc w:val="center"/>
                    <w:rPr>
                      <w:b/>
                      <w:bCs/>
                      <w:sz w:val="20"/>
                      <w:szCs w:val="20"/>
                    </w:rPr>
                  </w:pPr>
                  <w:sdt>
                    <w:sdtPr>
                      <w:rPr>
                        <w:b/>
                        <w:bCs/>
                        <w:sz w:val="20"/>
                        <w:szCs w:val="20"/>
                      </w:rPr>
                      <w:id w:val="-1620824630"/>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5A4FDC48" w14:textId="215E82FC" w:rsidR="00A521DF" w:rsidRDefault="00A521DF" w:rsidP="003162E6">
            <w:pPr>
              <w:spacing w:beforeLines="40" w:before="96" w:afterLines="40" w:after="96"/>
              <w:jc w:val="center"/>
              <w:rPr>
                <w:b/>
                <w:bCs/>
                <w:sz w:val="18"/>
                <w:szCs w:val="18"/>
              </w:rPr>
            </w:pPr>
          </w:p>
          <w:p w14:paraId="41D3AEC6" w14:textId="70E4C8BB" w:rsidR="00A521DF" w:rsidRDefault="00A521DF" w:rsidP="003162E6">
            <w:pPr>
              <w:spacing w:beforeLines="40" w:before="96" w:afterLines="40" w:after="96"/>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5F5E4DE1" w14:textId="77777777" w:rsidTr="00497913">
              <w:tc>
                <w:tcPr>
                  <w:tcW w:w="652" w:type="dxa"/>
                </w:tcPr>
                <w:p w14:paraId="771E9C67" w14:textId="77777777" w:rsidR="00A521DF" w:rsidRPr="00ED64CA" w:rsidRDefault="008530DA" w:rsidP="00A521DF">
                  <w:pPr>
                    <w:spacing w:before="40" w:after="40"/>
                    <w:jc w:val="center"/>
                    <w:rPr>
                      <w:b/>
                      <w:bCs/>
                      <w:sz w:val="20"/>
                      <w:szCs w:val="20"/>
                    </w:rPr>
                  </w:pPr>
                  <w:sdt>
                    <w:sdtPr>
                      <w:rPr>
                        <w:b/>
                        <w:bCs/>
                        <w:sz w:val="20"/>
                        <w:szCs w:val="20"/>
                      </w:rPr>
                      <w:id w:val="-1657147756"/>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6C630657" w14:textId="77777777" w:rsidR="00A521DF" w:rsidRPr="00ED64CA" w:rsidRDefault="008530DA" w:rsidP="00A521DF">
                  <w:pPr>
                    <w:spacing w:before="40" w:after="40"/>
                    <w:jc w:val="center"/>
                    <w:rPr>
                      <w:b/>
                      <w:bCs/>
                      <w:sz w:val="20"/>
                      <w:szCs w:val="20"/>
                    </w:rPr>
                  </w:pPr>
                  <w:sdt>
                    <w:sdtPr>
                      <w:rPr>
                        <w:b/>
                        <w:bCs/>
                        <w:sz w:val="20"/>
                        <w:szCs w:val="20"/>
                      </w:rPr>
                      <w:id w:val="49360911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2DF7193D" w14:textId="77777777" w:rsidR="00A521DF" w:rsidRPr="00ED64CA" w:rsidRDefault="008530DA" w:rsidP="00A521DF">
                  <w:pPr>
                    <w:spacing w:before="40" w:after="40"/>
                    <w:jc w:val="center"/>
                    <w:rPr>
                      <w:b/>
                      <w:bCs/>
                      <w:sz w:val="20"/>
                      <w:szCs w:val="20"/>
                    </w:rPr>
                  </w:pPr>
                  <w:sdt>
                    <w:sdtPr>
                      <w:rPr>
                        <w:b/>
                        <w:bCs/>
                        <w:sz w:val="20"/>
                        <w:szCs w:val="20"/>
                      </w:rPr>
                      <w:id w:val="-188801719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7B9006B5" w14:textId="77777777" w:rsidR="00A521DF" w:rsidRPr="00ED64CA" w:rsidRDefault="008530DA" w:rsidP="00A521DF">
                  <w:pPr>
                    <w:spacing w:before="40" w:after="40"/>
                    <w:jc w:val="center"/>
                    <w:rPr>
                      <w:b/>
                      <w:bCs/>
                      <w:sz w:val="20"/>
                      <w:szCs w:val="20"/>
                    </w:rPr>
                  </w:pPr>
                  <w:sdt>
                    <w:sdtPr>
                      <w:rPr>
                        <w:b/>
                        <w:bCs/>
                        <w:sz w:val="20"/>
                        <w:szCs w:val="20"/>
                      </w:rPr>
                      <w:id w:val="13322482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13F58FDE" w14:textId="3FDEA1F5" w:rsidR="00A521DF" w:rsidRDefault="00A521DF" w:rsidP="003162E6">
            <w:pPr>
              <w:spacing w:beforeLines="40" w:before="96" w:afterLines="40" w:after="96"/>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08226C39" w14:textId="77777777" w:rsidTr="00497913">
              <w:tc>
                <w:tcPr>
                  <w:tcW w:w="652" w:type="dxa"/>
                </w:tcPr>
                <w:p w14:paraId="2A3567A9" w14:textId="77777777" w:rsidR="00A521DF" w:rsidRPr="00ED64CA" w:rsidRDefault="008530DA" w:rsidP="00A521DF">
                  <w:pPr>
                    <w:spacing w:before="40" w:after="40"/>
                    <w:jc w:val="center"/>
                    <w:rPr>
                      <w:b/>
                      <w:bCs/>
                      <w:sz w:val="20"/>
                      <w:szCs w:val="20"/>
                    </w:rPr>
                  </w:pPr>
                  <w:sdt>
                    <w:sdtPr>
                      <w:rPr>
                        <w:b/>
                        <w:bCs/>
                        <w:sz w:val="20"/>
                        <w:szCs w:val="20"/>
                      </w:rPr>
                      <w:id w:val="-331989618"/>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5DD6893F" w14:textId="77777777" w:rsidR="00A521DF" w:rsidRPr="00ED64CA" w:rsidRDefault="008530DA" w:rsidP="00A521DF">
                  <w:pPr>
                    <w:spacing w:before="40" w:after="40"/>
                    <w:jc w:val="center"/>
                    <w:rPr>
                      <w:b/>
                      <w:bCs/>
                      <w:sz w:val="20"/>
                      <w:szCs w:val="20"/>
                    </w:rPr>
                  </w:pPr>
                  <w:sdt>
                    <w:sdtPr>
                      <w:rPr>
                        <w:b/>
                        <w:bCs/>
                        <w:sz w:val="20"/>
                        <w:szCs w:val="20"/>
                      </w:rPr>
                      <w:id w:val="-1097409856"/>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0A5C2156" w14:textId="77777777" w:rsidR="00A521DF" w:rsidRPr="00ED64CA" w:rsidRDefault="008530DA" w:rsidP="00A521DF">
                  <w:pPr>
                    <w:spacing w:before="40" w:after="40"/>
                    <w:jc w:val="center"/>
                    <w:rPr>
                      <w:b/>
                      <w:bCs/>
                      <w:sz w:val="20"/>
                      <w:szCs w:val="20"/>
                    </w:rPr>
                  </w:pPr>
                  <w:sdt>
                    <w:sdtPr>
                      <w:rPr>
                        <w:b/>
                        <w:bCs/>
                        <w:sz w:val="20"/>
                        <w:szCs w:val="20"/>
                      </w:rPr>
                      <w:id w:val="138683855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0B77A5DB" w14:textId="77777777" w:rsidR="00A521DF" w:rsidRPr="00ED64CA" w:rsidRDefault="008530DA" w:rsidP="00A521DF">
                  <w:pPr>
                    <w:spacing w:before="40" w:after="40"/>
                    <w:jc w:val="center"/>
                    <w:rPr>
                      <w:b/>
                      <w:bCs/>
                      <w:sz w:val="20"/>
                      <w:szCs w:val="20"/>
                    </w:rPr>
                  </w:pPr>
                  <w:sdt>
                    <w:sdtPr>
                      <w:rPr>
                        <w:b/>
                        <w:bCs/>
                        <w:sz w:val="20"/>
                        <w:szCs w:val="20"/>
                      </w:rPr>
                      <w:id w:val="136262122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5AF7F916" w14:textId="2B9E79E2" w:rsidR="00A521DF" w:rsidRDefault="00A521DF" w:rsidP="003162E6">
            <w:pPr>
              <w:spacing w:beforeLines="40" w:before="96" w:afterLines="40" w:after="96"/>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4A31B96F" w14:textId="77777777" w:rsidTr="00497913">
              <w:tc>
                <w:tcPr>
                  <w:tcW w:w="652" w:type="dxa"/>
                </w:tcPr>
                <w:p w14:paraId="7CDD0E2A" w14:textId="77777777" w:rsidR="00A521DF" w:rsidRPr="00ED64CA" w:rsidRDefault="008530DA" w:rsidP="00A521DF">
                  <w:pPr>
                    <w:spacing w:before="40" w:after="40"/>
                    <w:jc w:val="center"/>
                    <w:rPr>
                      <w:b/>
                      <w:bCs/>
                      <w:sz w:val="20"/>
                      <w:szCs w:val="20"/>
                    </w:rPr>
                  </w:pPr>
                  <w:sdt>
                    <w:sdtPr>
                      <w:rPr>
                        <w:b/>
                        <w:bCs/>
                        <w:sz w:val="20"/>
                        <w:szCs w:val="20"/>
                      </w:rPr>
                      <w:id w:val="-522406261"/>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47755698" w14:textId="77777777" w:rsidR="00A521DF" w:rsidRPr="00ED64CA" w:rsidRDefault="008530DA" w:rsidP="00A521DF">
                  <w:pPr>
                    <w:spacing w:before="40" w:after="40"/>
                    <w:jc w:val="center"/>
                    <w:rPr>
                      <w:b/>
                      <w:bCs/>
                      <w:sz w:val="20"/>
                      <w:szCs w:val="20"/>
                    </w:rPr>
                  </w:pPr>
                  <w:sdt>
                    <w:sdtPr>
                      <w:rPr>
                        <w:b/>
                        <w:bCs/>
                        <w:sz w:val="20"/>
                        <w:szCs w:val="20"/>
                      </w:rPr>
                      <w:id w:val="143424329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7B87F070" w14:textId="77777777" w:rsidR="00A521DF" w:rsidRPr="00ED64CA" w:rsidRDefault="008530DA" w:rsidP="00A521DF">
                  <w:pPr>
                    <w:spacing w:before="40" w:after="40"/>
                    <w:jc w:val="center"/>
                    <w:rPr>
                      <w:b/>
                      <w:bCs/>
                      <w:sz w:val="20"/>
                      <w:szCs w:val="20"/>
                    </w:rPr>
                  </w:pPr>
                  <w:sdt>
                    <w:sdtPr>
                      <w:rPr>
                        <w:b/>
                        <w:bCs/>
                        <w:sz w:val="20"/>
                        <w:szCs w:val="20"/>
                      </w:rPr>
                      <w:id w:val="1249616805"/>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291FF61F" w14:textId="77777777" w:rsidR="00A521DF" w:rsidRPr="00ED64CA" w:rsidRDefault="008530DA" w:rsidP="00A521DF">
                  <w:pPr>
                    <w:spacing w:before="40" w:after="40"/>
                    <w:jc w:val="center"/>
                    <w:rPr>
                      <w:b/>
                      <w:bCs/>
                      <w:sz w:val="20"/>
                      <w:szCs w:val="20"/>
                    </w:rPr>
                  </w:pPr>
                  <w:sdt>
                    <w:sdtPr>
                      <w:rPr>
                        <w:b/>
                        <w:bCs/>
                        <w:sz w:val="20"/>
                        <w:szCs w:val="20"/>
                      </w:rPr>
                      <w:id w:val="150046380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79B6AF43" w14:textId="70A3BDAC" w:rsidR="00A521DF" w:rsidRDefault="00A521DF" w:rsidP="003162E6">
            <w:pPr>
              <w:spacing w:beforeLines="40" w:before="96" w:afterLines="40" w:after="96"/>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150E8603" w14:textId="77777777" w:rsidTr="00497913">
              <w:tc>
                <w:tcPr>
                  <w:tcW w:w="652" w:type="dxa"/>
                </w:tcPr>
                <w:p w14:paraId="52BDC909" w14:textId="77777777" w:rsidR="00A521DF" w:rsidRPr="00ED64CA" w:rsidRDefault="008530DA" w:rsidP="00A521DF">
                  <w:pPr>
                    <w:spacing w:before="40" w:after="40"/>
                    <w:jc w:val="center"/>
                    <w:rPr>
                      <w:b/>
                      <w:bCs/>
                      <w:sz w:val="20"/>
                      <w:szCs w:val="20"/>
                    </w:rPr>
                  </w:pPr>
                  <w:sdt>
                    <w:sdtPr>
                      <w:rPr>
                        <w:b/>
                        <w:bCs/>
                        <w:sz w:val="20"/>
                        <w:szCs w:val="20"/>
                      </w:rPr>
                      <w:id w:val="550969443"/>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55D6449F" w14:textId="77777777" w:rsidR="00A521DF" w:rsidRPr="00ED64CA" w:rsidRDefault="008530DA" w:rsidP="00A521DF">
                  <w:pPr>
                    <w:spacing w:before="40" w:after="40"/>
                    <w:jc w:val="center"/>
                    <w:rPr>
                      <w:b/>
                      <w:bCs/>
                      <w:sz w:val="20"/>
                      <w:szCs w:val="20"/>
                    </w:rPr>
                  </w:pPr>
                  <w:sdt>
                    <w:sdtPr>
                      <w:rPr>
                        <w:b/>
                        <w:bCs/>
                        <w:sz w:val="20"/>
                        <w:szCs w:val="20"/>
                      </w:rPr>
                      <w:id w:val="-115105097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18136640" w14:textId="77777777" w:rsidR="00A521DF" w:rsidRPr="00ED64CA" w:rsidRDefault="008530DA" w:rsidP="00A521DF">
                  <w:pPr>
                    <w:spacing w:before="40" w:after="40"/>
                    <w:jc w:val="center"/>
                    <w:rPr>
                      <w:b/>
                      <w:bCs/>
                      <w:sz w:val="20"/>
                      <w:szCs w:val="20"/>
                    </w:rPr>
                  </w:pPr>
                  <w:sdt>
                    <w:sdtPr>
                      <w:rPr>
                        <w:b/>
                        <w:bCs/>
                        <w:sz w:val="20"/>
                        <w:szCs w:val="20"/>
                      </w:rPr>
                      <w:id w:val="-876049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3B465A99" w14:textId="77777777" w:rsidR="00A521DF" w:rsidRPr="00ED64CA" w:rsidRDefault="008530DA" w:rsidP="00A521DF">
                  <w:pPr>
                    <w:spacing w:before="40" w:after="40"/>
                    <w:jc w:val="center"/>
                    <w:rPr>
                      <w:b/>
                      <w:bCs/>
                      <w:sz w:val="20"/>
                      <w:szCs w:val="20"/>
                    </w:rPr>
                  </w:pPr>
                  <w:sdt>
                    <w:sdtPr>
                      <w:rPr>
                        <w:b/>
                        <w:bCs/>
                        <w:sz w:val="20"/>
                        <w:szCs w:val="20"/>
                      </w:rPr>
                      <w:id w:val="-545142280"/>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4F6902FE" w14:textId="07A76F8A" w:rsidR="00A521DF" w:rsidRPr="000D2E1F" w:rsidRDefault="00A521DF" w:rsidP="003162E6">
            <w:pPr>
              <w:spacing w:beforeLines="40" w:before="96" w:afterLines="40" w:after="96"/>
              <w:jc w:val="center"/>
              <w:rPr>
                <w:b/>
                <w:bCs/>
                <w:sz w:val="20"/>
                <w:szCs w:val="20"/>
              </w:rPr>
            </w:pPr>
          </w:p>
        </w:tc>
      </w:tr>
      <w:tr w:rsidR="000D2E1F" w14:paraId="0D9B054D" w14:textId="77777777" w:rsidTr="00E010DB">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7F65D471" w14:textId="77777777" w:rsidR="003760F7" w:rsidRDefault="003760F7" w:rsidP="003162E6">
            <w:pPr>
              <w:spacing w:before="40" w:after="40"/>
              <w:ind w:left="360" w:hanging="331"/>
              <w:rPr>
                <w:sz w:val="18"/>
                <w:szCs w:val="18"/>
              </w:rPr>
            </w:pPr>
            <w:r>
              <w:rPr>
                <w:sz w:val="18"/>
                <w:szCs w:val="18"/>
              </w:rPr>
              <w:t xml:space="preserve">1b.  </w:t>
            </w:r>
            <w:r w:rsidRPr="00462EC2">
              <w:rPr>
                <w:b/>
                <w:sz w:val="18"/>
                <w:szCs w:val="18"/>
              </w:rPr>
              <w:t xml:space="preserve">Dynamic review process: </w:t>
            </w:r>
            <w:r w:rsidRPr="00671011">
              <w:rPr>
                <w:sz w:val="18"/>
                <w:szCs w:val="18"/>
              </w:rPr>
              <w:t>Create</w:t>
            </w:r>
            <w:r w:rsidRPr="00462EC2">
              <w:rPr>
                <w:sz w:val="18"/>
                <w:szCs w:val="18"/>
              </w:rPr>
              <w:t xml:space="preserve"> and support a </w:t>
            </w:r>
            <w:r>
              <w:rPr>
                <w:sz w:val="18"/>
                <w:szCs w:val="18"/>
              </w:rPr>
              <w:t xml:space="preserve">cross-sector </w:t>
            </w:r>
            <w:r w:rsidRPr="00462EC2">
              <w:rPr>
                <w:sz w:val="18"/>
                <w:szCs w:val="18"/>
              </w:rPr>
              <w:t>process and feedback loop to review the</w:t>
            </w:r>
            <w:r>
              <w:rPr>
                <w:sz w:val="18"/>
                <w:szCs w:val="18"/>
              </w:rPr>
              <w:t xml:space="preserve"> alignment and</w:t>
            </w:r>
            <w:r w:rsidRPr="00462EC2">
              <w:rPr>
                <w:sz w:val="18"/>
                <w:szCs w:val="18"/>
              </w:rPr>
              <w:t xml:space="preserve"> impact of career pathways to inform their continuous improvement</w:t>
            </w:r>
          </w:p>
          <w:p w14:paraId="64A80CDC" w14:textId="77777777" w:rsidR="000D2E1F" w:rsidRPr="003B6205" w:rsidRDefault="000D2E1F" w:rsidP="003162E6">
            <w:pPr>
              <w:spacing w:before="40" w:after="40"/>
              <w:rPr>
                <w:b/>
                <w:sz w:val="20"/>
                <w:szCs w:val="20"/>
                <w:u w:val="single"/>
              </w:rPr>
            </w:pP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37B20039" w14:textId="77777777" w:rsidR="003760F7" w:rsidRPr="00A521DF" w:rsidRDefault="003760F7" w:rsidP="003162E6">
            <w:pPr>
              <w:spacing w:before="40" w:after="40"/>
              <w:rPr>
                <w:b/>
                <w:bCs/>
                <w:sz w:val="20"/>
                <w:szCs w:val="20"/>
              </w:rPr>
            </w:pPr>
            <w:r w:rsidRPr="00A521DF">
              <w:rPr>
                <w:b/>
                <w:bCs/>
                <w:sz w:val="20"/>
                <w:szCs w:val="20"/>
              </w:rPr>
              <w:t>Target outcome 1b: Dynamic pathways review process</w:t>
            </w:r>
          </w:p>
          <w:p w14:paraId="42BF5410" w14:textId="77939026" w:rsidR="003760F7" w:rsidRPr="00497913" w:rsidRDefault="003760F7" w:rsidP="00A44D7D">
            <w:pPr>
              <w:pStyle w:val="ListParagraph"/>
              <w:numPr>
                <w:ilvl w:val="0"/>
                <w:numId w:val="11"/>
              </w:numPr>
              <w:spacing w:before="40" w:after="40"/>
              <w:ind w:left="405"/>
              <w:rPr>
                <w:sz w:val="18"/>
                <w:szCs w:val="18"/>
              </w:rPr>
            </w:pPr>
            <w:r w:rsidRPr="00497913">
              <w:rPr>
                <w:sz w:val="18"/>
                <w:szCs w:val="18"/>
              </w:rPr>
              <w:t xml:space="preserve">School districts and </w:t>
            </w:r>
            <w:r w:rsidR="00497913" w:rsidRPr="00497913">
              <w:rPr>
                <w:sz w:val="18"/>
                <w:szCs w:val="18"/>
              </w:rPr>
              <w:t>postsecondary</w:t>
            </w:r>
            <w:r w:rsidRPr="00497913">
              <w:rPr>
                <w:sz w:val="18"/>
                <w:szCs w:val="18"/>
              </w:rPr>
              <w:t xml:space="preserve"> education institutions conduct gap analyses at least </w:t>
            </w:r>
            <w:r w:rsidR="00497913" w:rsidRPr="00497913">
              <w:rPr>
                <w:sz w:val="18"/>
                <w:szCs w:val="18"/>
              </w:rPr>
              <w:t>every other year</w:t>
            </w:r>
            <w:r w:rsidR="00533DC9">
              <w:rPr>
                <w:sz w:val="18"/>
                <w:szCs w:val="18"/>
              </w:rPr>
              <w:t xml:space="preserve"> – and more frequently following COVID-19 -</w:t>
            </w:r>
            <w:r w:rsidRPr="00497913">
              <w:rPr>
                <w:sz w:val="18"/>
                <w:szCs w:val="18"/>
              </w:rPr>
              <w:t xml:space="preserve"> to determine the extent to which their career pathways and associated credentials are aligned with sectors identified as in-demand, high-skill, family-sustaining wage.</w:t>
            </w:r>
            <w:r w:rsidR="00A521DF" w:rsidRPr="00497913">
              <w:rPr>
                <w:sz w:val="18"/>
                <w:szCs w:val="18"/>
              </w:rPr>
              <w:br/>
            </w:r>
          </w:p>
          <w:p w14:paraId="4108BCFC" w14:textId="796428FE" w:rsidR="003760F7" w:rsidRDefault="003760F7" w:rsidP="00A44D7D">
            <w:pPr>
              <w:pStyle w:val="ListParagraph"/>
              <w:numPr>
                <w:ilvl w:val="0"/>
                <w:numId w:val="11"/>
              </w:numPr>
              <w:spacing w:before="40" w:after="40"/>
              <w:ind w:left="405"/>
              <w:rPr>
                <w:sz w:val="18"/>
                <w:szCs w:val="18"/>
              </w:rPr>
            </w:pPr>
            <w:r>
              <w:rPr>
                <w:sz w:val="18"/>
                <w:szCs w:val="18"/>
              </w:rPr>
              <w:t xml:space="preserve">School districts and </w:t>
            </w:r>
            <w:r w:rsidR="00497913">
              <w:rPr>
                <w:sz w:val="18"/>
                <w:szCs w:val="18"/>
              </w:rPr>
              <w:t>postsecondary</w:t>
            </w:r>
            <w:r>
              <w:rPr>
                <w:sz w:val="18"/>
                <w:szCs w:val="18"/>
              </w:rPr>
              <w:t xml:space="preserve"> education institutions use the results of the gap analyses to identify new pathways that must be built and current pathways that can be transformed to be aligned more tightly with in-demand, high-skill, family-sustaining wage sectors.</w:t>
            </w:r>
            <w:r w:rsidR="00A521DF">
              <w:rPr>
                <w:sz w:val="18"/>
                <w:szCs w:val="18"/>
              </w:rPr>
              <w:br/>
            </w:r>
          </w:p>
          <w:p w14:paraId="0746DADB" w14:textId="7E3179C3" w:rsidR="003760F7" w:rsidRDefault="003760F7" w:rsidP="00A44D7D">
            <w:pPr>
              <w:pStyle w:val="ListParagraph"/>
              <w:numPr>
                <w:ilvl w:val="0"/>
                <w:numId w:val="11"/>
              </w:numPr>
              <w:spacing w:before="40" w:after="40"/>
              <w:ind w:left="405"/>
              <w:rPr>
                <w:sz w:val="18"/>
                <w:szCs w:val="18"/>
              </w:rPr>
            </w:pPr>
            <w:r>
              <w:rPr>
                <w:sz w:val="18"/>
                <w:szCs w:val="18"/>
              </w:rPr>
              <w:t xml:space="preserve">School districts and </w:t>
            </w:r>
            <w:r w:rsidR="00497913">
              <w:rPr>
                <w:sz w:val="18"/>
                <w:szCs w:val="18"/>
              </w:rPr>
              <w:t>postsecondary</w:t>
            </w:r>
            <w:r>
              <w:rPr>
                <w:sz w:val="18"/>
                <w:szCs w:val="18"/>
              </w:rPr>
              <w:t xml:space="preserve"> education institutions use the results of the gap analyses to design and operationalize a process to retire low-quality, unaligned career pathways and/or those pathways with poor outcomes</w:t>
            </w:r>
            <w:r w:rsidR="00533DC9">
              <w:rPr>
                <w:sz w:val="18"/>
                <w:szCs w:val="18"/>
              </w:rPr>
              <w:t>.</w:t>
            </w:r>
            <w:r w:rsidR="00A521DF">
              <w:rPr>
                <w:sz w:val="18"/>
                <w:szCs w:val="18"/>
              </w:rPr>
              <w:br/>
            </w:r>
          </w:p>
          <w:p w14:paraId="4446A5BA" w14:textId="4F2BCA2D" w:rsidR="003760F7" w:rsidRDefault="003760F7" w:rsidP="00A44D7D">
            <w:pPr>
              <w:pStyle w:val="ListParagraph"/>
              <w:numPr>
                <w:ilvl w:val="0"/>
                <w:numId w:val="11"/>
              </w:numPr>
              <w:spacing w:before="40" w:after="40"/>
              <w:ind w:left="405"/>
              <w:rPr>
                <w:sz w:val="18"/>
                <w:szCs w:val="18"/>
              </w:rPr>
            </w:pPr>
            <w:r>
              <w:rPr>
                <w:sz w:val="18"/>
                <w:szCs w:val="18"/>
              </w:rPr>
              <w:t xml:space="preserve">As part of the </w:t>
            </w:r>
            <w:r w:rsidR="00497913">
              <w:rPr>
                <w:sz w:val="18"/>
                <w:szCs w:val="18"/>
              </w:rPr>
              <w:t>review</w:t>
            </w:r>
            <w:r>
              <w:rPr>
                <w:sz w:val="18"/>
                <w:szCs w:val="18"/>
              </w:rPr>
              <w:t xml:space="preserve"> process, school districts and </w:t>
            </w:r>
            <w:r w:rsidR="00497913">
              <w:rPr>
                <w:sz w:val="18"/>
                <w:szCs w:val="18"/>
              </w:rPr>
              <w:t>postsecondary</w:t>
            </w:r>
            <w:r>
              <w:rPr>
                <w:sz w:val="18"/>
                <w:szCs w:val="18"/>
              </w:rPr>
              <w:t xml:space="preserve"> education institutions</w:t>
            </w:r>
            <w:r w:rsidR="00497913">
              <w:rPr>
                <w:sz w:val="18"/>
                <w:szCs w:val="18"/>
              </w:rPr>
              <w:t xml:space="preserve"> ensure that</w:t>
            </w:r>
            <w:r>
              <w:rPr>
                <w:sz w:val="18"/>
                <w:szCs w:val="18"/>
              </w:rPr>
              <w:t xml:space="preserve"> priority credentials</w:t>
            </w:r>
            <w:r w:rsidR="00533DC9">
              <w:rPr>
                <w:sz w:val="18"/>
                <w:szCs w:val="18"/>
              </w:rPr>
              <w:t xml:space="preserve"> valued by the recovering economy</w:t>
            </w:r>
            <w:r w:rsidR="00497913">
              <w:rPr>
                <w:sz w:val="18"/>
                <w:szCs w:val="18"/>
              </w:rPr>
              <w:t xml:space="preserve"> are embedded</w:t>
            </w:r>
            <w:r>
              <w:rPr>
                <w:sz w:val="18"/>
                <w:szCs w:val="18"/>
              </w:rPr>
              <w:t xml:space="preserve"> into career pathways.</w:t>
            </w:r>
            <w:r w:rsidR="00A521DF">
              <w:rPr>
                <w:sz w:val="18"/>
                <w:szCs w:val="18"/>
              </w:rPr>
              <w:br/>
            </w:r>
          </w:p>
          <w:p w14:paraId="6550A3D0" w14:textId="75460579" w:rsidR="003760F7" w:rsidRDefault="003760F7" w:rsidP="00A44D7D">
            <w:pPr>
              <w:pStyle w:val="ListParagraph"/>
              <w:numPr>
                <w:ilvl w:val="0"/>
                <w:numId w:val="11"/>
              </w:numPr>
              <w:spacing w:before="40" w:after="40"/>
              <w:ind w:left="405"/>
              <w:rPr>
                <w:sz w:val="18"/>
                <w:szCs w:val="18"/>
              </w:rPr>
            </w:pPr>
            <w:r>
              <w:rPr>
                <w:sz w:val="18"/>
                <w:szCs w:val="18"/>
              </w:rPr>
              <w:t xml:space="preserve">School districts and </w:t>
            </w:r>
            <w:r w:rsidR="00497913">
              <w:rPr>
                <w:sz w:val="18"/>
                <w:szCs w:val="18"/>
              </w:rPr>
              <w:t>postsecondary</w:t>
            </w:r>
            <w:r>
              <w:rPr>
                <w:sz w:val="18"/>
                <w:szCs w:val="18"/>
              </w:rPr>
              <w:t xml:space="preserve"> education institutions leverage secondary and postsecondary program approval criteria to establish and maintain career pathway quality, instructional rigor, and connection with priority industry needs.</w:t>
            </w:r>
            <w:r w:rsidR="00A521DF">
              <w:rPr>
                <w:sz w:val="18"/>
                <w:szCs w:val="18"/>
              </w:rPr>
              <w:br/>
            </w:r>
          </w:p>
          <w:p w14:paraId="61A95B32" w14:textId="5B6DF05E" w:rsidR="003760F7" w:rsidRDefault="003760F7" w:rsidP="00A44D7D">
            <w:pPr>
              <w:pStyle w:val="ListParagraph"/>
              <w:numPr>
                <w:ilvl w:val="0"/>
                <w:numId w:val="11"/>
              </w:numPr>
              <w:spacing w:before="40" w:after="40"/>
              <w:ind w:left="405"/>
              <w:rPr>
                <w:sz w:val="18"/>
                <w:szCs w:val="18"/>
              </w:rPr>
            </w:pPr>
            <w:r>
              <w:rPr>
                <w:sz w:val="18"/>
                <w:szCs w:val="18"/>
              </w:rPr>
              <w:lastRenderedPageBreak/>
              <w:t>State and local funding and program approval processes are used to scale up pathways in priority sectors.</w:t>
            </w:r>
            <w:r w:rsidR="00A521DF">
              <w:rPr>
                <w:sz w:val="18"/>
                <w:szCs w:val="18"/>
              </w:rPr>
              <w:br/>
            </w:r>
          </w:p>
          <w:p w14:paraId="391C77F0" w14:textId="5AA5F1F8" w:rsidR="003760F7" w:rsidRDefault="003760F7" w:rsidP="00A44D7D">
            <w:pPr>
              <w:pStyle w:val="ListParagraph"/>
              <w:numPr>
                <w:ilvl w:val="0"/>
                <w:numId w:val="11"/>
              </w:numPr>
              <w:spacing w:before="40" w:after="40"/>
              <w:ind w:left="405"/>
              <w:rPr>
                <w:sz w:val="18"/>
                <w:szCs w:val="18"/>
              </w:rPr>
            </w:pPr>
            <w:r>
              <w:rPr>
                <w:sz w:val="18"/>
                <w:szCs w:val="18"/>
              </w:rPr>
              <w:t xml:space="preserve">State and local funding and program approval processes are used to scale down or phase out pathways that </w:t>
            </w:r>
            <w:proofErr w:type="gramStart"/>
            <w:r>
              <w:rPr>
                <w:sz w:val="18"/>
                <w:szCs w:val="18"/>
              </w:rPr>
              <w:t>don’t</w:t>
            </w:r>
            <w:proofErr w:type="gramEnd"/>
            <w:r>
              <w:rPr>
                <w:sz w:val="18"/>
                <w:szCs w:val="18"/>
              </w:rPr>
              <w:t xml:space="preserve"> lead to credentials of value</w:t>
            </w:r>
            <w:r w:rsidR="00533DC9">
              <w:rPr>
                <w:sz w:val="18"/>
                <w:szCs w:val="18"/>
              </w:rPr>
              <w:t xml:space="preserve"> in the recovering economy</w:t>
            </w:r>
            <w:r>
              <w:rPr>
                <w:sz w:val="18"/>
                <w:szCs w:val="18"/>
              </w:rPr>
              <w:t>.</w:t>
            </w:r>
            <w:r w:rsidR="00A521DF">
              <w:rPr>
                <w:sz w:val="18"/>
                <w:szCs w:val="18"/>
              </w:rPr>
              <w:br/>
            </w:r>
          </w:p>
          <w:p w14:paraId="1E024E65" w14:textId="7D7F0F45" w:rsidR="000D2E1F" w:rsidRPr="00A521DF" w:rsidRDefault="003760F7" w:rsidP="00A44D7D">
            <w:pPr>
              <w:pStyle w:val="ListParagraph"/>
              <w:numPr>
                <w:ilvl w:val="0"/>
                <w:numId w:val="11"/>
              </w:numPr>
              <w:spacing w:before="40" w:after="40"/>
              <w:ind w:left="405"/>
              <w:rPr>
                <w:sz w:val="18"/>
                <w:szCs w:val="18"/>
              </w:rPr>
            </w:pPr>
            <w:r w:rsidRPr="00E010DB">
              <w:rPr>
                <w:sz w:val="18"/>
                <w:szCs w:val="18"/>
              </w:rPr>
              <w:t>In the past three years, the state and/or community has discontinued career pathways that fail to meet minimum standards for quality</w:t>
            </w:r>
            <w:r w:rsidR="00FA1401">
              <w:rPr>
                <w:sz w:val="18"/>
                <w:szCs w:val="18"/>
              </w:rPr>
              <w:t xml:space="preserve"> and</w:t>
            </w:r>
            <w:r w:rsidRPr="00E010DB">
              <w:rPr>
                <w:sz w:val="18"/>
                <w:szCs w:val="18"/>
              </w:rPr>
              <w:t xml:space="preserve"> rigor or that do not demonstrate a connection to priority industry needs.</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4FE1FDF6" w14:textId="77777777" w:rsidR="000D2E1F" w:rsidRDefault="000D2E1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263E0F7B" w14:textId="77777777" w:rsidTr="00497913">
              <w:tc>
                <w:tcPr>
                  <w:tcW w:w="652" w:type="dxa"/>
                </w:tcPr>
                <w:p w14:paraId="24915A4B" w14:textId="77777777" w:rsidR="00A521DF" w:rsidRPr="00ED64CA" w:rsidRDefault="008530DA" w:rsidP="00A521DF">
                  <w:pPr>
                    <w:spacing w:before="40" w:after="40"/>
                    <w:jc w:val="center"/>
                    <w:rPr>
                      <w:b/>
                      <w:bCs/>
                      <w:sz w:val="20"/>
                      <w:szCs w:val="20"/>
                    </w:rPr>
                  </w:pPr>
                  <w:sdt>
                    <w:sdtPr>
                      <w:rPr>
                        <w:b/>
                        <w:bCs/>
                        <w:sz w:val="20"/>
                        <w:szCs w:val="20"/>
                      </w:rPr>
                      <w:id w:val="1471176599"/>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7741A80A" w14:textId="77777777" w:rsidR="00A521DF" w:rsidRPr="00ED64CA" w:rsidRDefault="008530DA" w:rsidP="00A521DF">
                  <w:pPr>
                    <w:spacing w:before="40" w:after="40"/>
                    <w:jc w:val="center"/>
                    <w:rPr>
                      <w:b/>
                      <w:bCs/>
                      <w:sz w:val="20"/>
                      <w:szCs w:val="20"/>
                    </w:rPr>
                  </w:pPr>
                  <w:sdt>
                    <w:sdtPr>
                      <w:rPr>
                        <w:b/>
                        <w:bCs/>
                        <w:sz w:val="20"/>
                        <w:szCs w:val="20"/>
                      </w:rPr>
                      <w:id w:val="-2085208128"/>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2CD87BB3" w14:textId="77777777" w:rsidR="00A521DF" w:rsidRPr="00ED64CA" w:rsidRDefault="008530DA" w:rsidP="00A521DF">
                  <w:pPr>
                    <w:spacing w:before="40" w:after="40"/>
                    <w:jc w:val="center"/>
                    <w:rPr>
                      <w:b/>
                      <w:bCs/>
                      <w:sz w:val="20"/>
                      <w:szCs w:val="20"/>
                    </w:rPr>
                  </w:pPr>
                  <w:sdt>
                    <w:sdtPr>
                      <w:rPr>
                        <w:b/>
                        <w:bCs/>
                        <w:sz w:val="20"/>
                        <w:szCs w:val="20"/>
                      </w:rPr>
                      <w:id w:val="-3604397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080E4372" w14:textId="77777777" w:rsidR="00A521DF" w:rsidRPr="00ED64CA" w:rsidRDefault="008530DA" w:rsidP="00A521DF">
                  <w:pPr>
                    <w:spacing w:before="40" w:after="40"/>
                    <w:jc w:val="center"/>
                    <w:rPr>
                      <w:b/>
                      <w:bCs/>
                      <w:sz w:val="20"/>
                      <w:szCs w:val="20"/>
                    </w:rPr>
                  </w:pPr>
                  <w:sdt>
                    <w:sdtPr>
                      <w:rPr>
                        <w:b/>
                        <w:bCs/>
                        <w:sz w:val="20"/>
                        <w:szCs w:val="20"/>
                      </w:rPr>
                      <w:id w:val="1523820890"/>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230654D6" w14:textId="77777777" w:rsidR="00A521DF" w:rsidRDefault="00A521DF" w:rsidP="003162E6">
            <w:pPr>
              <w:spacing w:before="40" w:after="40"/>
              <w:jc w:val="center"/>
              <w:rPr>
                <w:b/>
                <w:bCs/>
                <w:sz w:val="20"/>
                <w:szCs w:val="20"/>
              </w:rPr>
            </w:pPr>
          </w:p>
          <w:p w14:paraId="7AC8D606" w14:textId="77777777" w:rsidR="00A521DF" w:rsidRDefault="00A521D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6A49D8A2" w14:textId="77777777" w:rsidTr="00497913">
              <w:tc>
                <w:tcPr>
                  <w:tcW w:w="652" w:type="dxa"/>
                </w:tcPr>
                <w:p w14:paraId="43CD573A" w14:textId="77777777" w:rsidR="00A521DF" w:rsidRPr="00ED64CA" w:rsidRDefault="008530DA" w:rsidP="00A521DF">
                  <w:pPr>
                    <w:spacing w:before="40" w:after="40"/>
                    <w:jc w:val="center"/>
                    <w:rPr>
                      <w:b/>
                      <w:bCs/>
                      <w:sz w:val="20"/>
                      <w:szCs w:val="20"/>
                    </w:rPr>
                  </w:pPr>
                  <w:sdt>
                    <w:sdtPr>
                      <w:rPr>
                        <w:b/>
                        <w:bCs/>
                        <w:sz w:val="20"/>
                        <w:szCs w:val="20"/>
                      </w:rPr>
                      <w:id w:val="193966337"/>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379822C3" w14:textId="77777777" w:rsidR="00A521DF" w:rsidRPr="00ED64CA" w:rsidRDefault="008530DA" w:rsidP="00A521DF">
                  <w:pPr>
                    <w:spacing w:before="40" w:after="40"/>
                    <w:jc w:val="center"/>
                    <w:rPr>
                      <w:b/>
                      <w:bCs/>
                      <w:sz w:val="20"/>
                      <w:szCs w:val="20"/>
                    </w:rPr>
                  </w:pPr>
                  <w:sdt>
                    <w:sdtPr>
                      <w:rPr>
                        <w:b/>
                        <w:bCs/>
                        <w:sz w:val="20"/>
                        <w:szCs w:val="20"/>
                      </w:rPr>
                      <w:id w:val="-78935701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627A72BF" w14:textId="77777777" w:rsidR="00A521DF" w:rsidRPr="00ED64CA" w:rsidRDefault="008530DA" w:rsidP="00A521DF">
                  <w:pPr>
                    <w:spacing w:before="40" w:after="40"/>
                    <w:jc w:val="center"/>
                    <w:rPr>
                      <w:b/>
                      <w:bCs/>
                      <w:sz w:val="20"/>
                      <w:szCs w:val="20"/>
                    </w:rPr>
                  </w:pPr>
                  <w:sdt>
                    <w:sdtPr>
                      <w:rPr>
                        <w:b/>
                        <w:bCs/>
                        <w:sz w:val="20"/>
                        <w:szCs w:val="20"/>
                      </w:rPr>
                      <w:id w:val="1122491118"/>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0E90F669" w14:textId="77777777" w:rsidR="00A521DF" w:rsidRPr="00ED64CA" w:rsidRDefault="008530DA" w:rsidP="00A521DF">
                  <w:pPr>
                    <w:spacing w:before="40" w:after="40"/>
                    <w:jc w:val="center"/>
                    <w:rPr>
                      <w:b/>
                      <w:bCs/>
                      <w:sz w:val="20"/>
                      <w:szCs w:val="20"/>
                    </w:rPr>
                  </w:pPr>
                  <w:sdt>
                    <w:sdtPr>
                      <w:rPr>
                        <w:b/>
                        <w:bCs/>
                        <w:sz w:val="20"/>
                        <w:szCs w:val="20"/>
                      </w:rPr>
                      <w:id w:val="94682186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1DA52FA5" w14:textId="77777777" w:rsidR="00A521DF" w:rsidRDefault="00A521DF" w:rsidP="003162E6">
            <w:pPr>
              <w:spacing w:before="40" w:after="40"/>
              <w:jc w:val="center"/>
              <w:rPr>
                <w:b/>
                <w:bCs/>
                <w:sz w:val="20"/>
                <w:szCs w:val="20"/>
              </w:rPr>
            </w:pPr>
          </w:p>
          <w:p w14:paraId="520BD1BF" w14:textId="77777777" w:rsidR="00A521DF" w:rsidRDefault="00A521D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222150E2" w14:textId="77777777" w:rsidTr="00497913">
              <w:tc>
                <w:tcPr>
                  <w:tcW w:w="652" w:type="dxa"/>
                </w:tcPr>
                <w:p w14:paraId="4A722C24" w14:textId="77777777" w:rsidR="00A521DF" w:rsidRPr="00ED64CA" w:rsidRDefault="008530DA" w:rsidP="00A521DF">
                  <w:pPr>
                    <w:spacing w:before="40" w:after="40"/>
                    <w:jc w:val="center"/>
                    <w:rPr>
                      <w:b/>
                      <w:bCs/>
                      <w:sz w:val="20"/>
                      <w:szCs w:val="20"/>
                    </w:rPr>
                  </w:pPr>
                  <w:sdt>
                    <w:sdtPr>
                      <w:rPr>
                        <w:b/>
                        <w:bCs/>
                        <w:sz w:val="20"/>
                        <w:szCs w:val="20"/>
                      </w:rPr>
                      <w:id w:val="1425305916"/>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19143D64" w14:textId="77777777" w:rsidR="00A521DF" w:rsidRPr="00ED64CA" w:rsidRDefault="008530DA" w:rsidP="00A521DF">
                  <w:pPr>
                    <w:spacing w:before="40" w:after="40"/>
                    <w:jc w:val="center"/>
                    <w:rPr>
                      <w:b/>
                      <w:bCs/>
                      <w:sz w:val="20"/>
                      <w:szCs w:val="20"/>
                    </w:rPr>
                  </w:pPr>
                  <w:sdt>
                    <w:sdtPr>
                      <w:rPr>
                        <w:b/>
                        <w:bCs/>
                        <w:sz w:val="20"/>
                        <w:szCs w:val="20"/>
                      </w:rPr>
                      <w:id w:val="191080374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3883F6C7" w14:textId="77777777" w:rsidR="00A521DF" w:rsidRPr="00ED64CA" w:rsidRDefault="008530DA" w:rsidP="00A521DF">
                  <w:pPr>
                    <w:spacing w:before="40" w:after="40"/>
                    <w:jc w:val="center"/>
                    <w:rPr>
                      <w:b/>
                      <w:bCs/>
                      <w:sz w:val="20"/>
                      <w:szCs w:val="20"/>
                    </w:rPr>
                  </w:pPr>
                  <w:sdt>
                    <w:sdtPr>
                      <w:rPr>
                        <w:b/>
                        <w:bCs/>
                        <w:sz w:val="20"/>
                        <w:szCs w:val="20"/>
                      </w:rPr>
                      <w:id w:val="-485324300"/>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399EF4C7" w14:textId="77777777" w:rsidR="00A521DF" w:rsidRPr="00ED64CA" w:rsidRDefault="008530DA" w:rsidP="00A521DF">
                  <w:pPr>
                    <w:spacing w:before="40" w:after="40"/>
                    <w:jc w:val="center"/>
                    <w:rPr>
                      <w:b/>
                      <w:bCs/>
                      <w:sz w:val="20"/>
                      <w:szCs w:val="20"/>
                    </w:rPr>
                  </w:pPr>
                  <w:sdt>
                    <w:sdtPr>
                      <w:rPr>
                        <w:b/>
                        <w:bCs/>
                        <w:sz w:val="20"/>
                        <w:szCs w:val="20"/>
                      </w:rPr>
                      <w:id w:val="-109600667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7C43B479" w14:textId="77777777" w:rsidR="00A521DF" w:rsidRDefault="00A521D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5F6303BD" w14:textId="77777777" w:rsidTr="00497913">
              <w:tc>
                <w:tcPr>
                  <w:tcW w:w="652" w:type="dxa"/>
                </w:tcPr>
                <w:p w14:paraId="2AC0940C" w14:textId="77777777" w:rsidR="00A521DF" w:rsidRPr="00ED64CA" w:rsidRDefault="008530DA" w:rsidP="00A521DF">
                  <w:pPr>
                    <w:spacing w:before="40" w:after="40"/>
                    <w:jc w:val="center"/>
                    <w:rPr>
                      <w:b/>
                      <w:bCs/>
                      <w:sz w:val="20"/>
                      <w:szCs w:val="20"/>
                    </w:rPr>
                  </w:pPr>
                  <w:sdt>
                    <w:sdtPr>
                      <w:rPr>
                        <w:b/>
                        <w:bCs/>
                        <w:sz w:val="20"/>
                        <w:szCs w:val="20"/>
                      </w:rPr>
                      <w:id w:val="-1730226018"/>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38FC633B" w14:textId="77777777" w:rsidR="00A521DF" w:rsidRPr="00ED64CA" w:rsidRDefault="008530DA" w:rsidP="00A521DF">
                  <w:pPr>
                    <w:spacing w:before="40" w:after="40"/>
                    <w:jc w:val="center"/>
                    <w:rPr>
                      <w:b/>
                      <w:bCs/>
                      <w:sz w:val="20"/>
                      <w:szCs w:val="20"/>
                    </w:rPr>
                  </w:pPr>
                  <w:sdt>
                    <w:sdtPr>
                      <w:rPr>
                        <w:b/>
                        <w:bCs/>
                        <w:sz w:val="20"/>
                        <w:szCs w:val="20"/>
                      </w:rPr>
                      <w:id w:val="-186442740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4577A43A" w14:textId="77777777" w:rsidR="00A521DF" w:rsidRPr="00ED64CA" w:rsidRDefault="008530DA" w:rsidP="00A521DF">
                  <w:pPr>
                    <w:spacing w:before="40" w:after="40"/>
                    <w:jc w:val="center"/>
                    <w:rPr>
                      <w:b/>
                      <w:bCs/>
                      <w:sz w:val="20"/>
                      <w:szCs w:val="20"/>
                    </w:rPr>
                  </w:pPr>
                  <w:sdt>
                    <w:sdtPr>
                      <w:rPr>
                        <w:b/>
                        <w:bCs/>
                        <w:sz w:val="20"/>
                        <w:szCs w:val="20"/>
                      </w:rPr>
                      <w:id w:val="-73962617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19E41E16" w14:textId="77777777" w:rsidR="00A521DF" w:rsidRPr="00ED64CA" w:rsidRDefault="008530DA" w:rsidP="00A521DF">
                  <w:pPr>
                    <w:spacing w:before="40" w:after="40"/>
                    <w:jc w:val="center"/>
                    <w:rPr>
                      <w:b/>
                      <w:bCs/>
                      <w:sz w:val="20"/>
                      <w:szCs w:val="20"/>
                    </w:rPr>
                  </w:pPr>
                  <w:sdt>
                    <w:sdtPr>
                      <w:rPr>
                        <w:b/>
                        <w:bCs/>
                        <w:sz w:val="20"/>
                        <w:szCs w:val="20"/>
                      </w:rPr>
                      <w:id w:val="-61790978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518B6BEB" w14:textId="77777777" w:rsidR="00A521DF" w:rsidRDefault="00A521DF" w:rsidP="003162E6">
            <w:pPr>
              <w:spacing w:before="40" w:after="40"/>
              <w:jc w:val="center"/>
              <w:rPr>
                <w:b/>
                <w:bCs/>
                <w:sz w:val="20"/>
                <w:szCs w:val="20"/>
              </w:rPr>
            </w:pPr>
          </w:p>
          <w:p w14:paraId="6B3BAE9C" w14:textId="77777777" w:rsidR="00A521DF" w:rsidRDefault="00A521D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5FBC71FD" w14:textId="77777777" w:rsidTr="00497913">
              <w:tc>
                <w:tcPr>
                  <w:tcW w:w="652" w:type="dxa"/>
                </w:tcPr>
                <w:p w14:paraId="5DE37EFF" w14:textId="77777777" w:rsidR="00A521DF" w:rsidRPr="00ED64CA" w:rsidRDefault="008530DA" w:rsidP="00A521DF">
                  <w:pPr>
                    <w:spacing w:before="40" w:after="40"/>
                    <w:jc w:val="center"/>
                    <w:rPr>
                      <w:b/>
                      <w:bCs/>
                      <w:sz w:val="20"/>
                      <w:szCs w:val="20"/>
                    </w:rPr>
                  </w:pPr>
                  <w:sdt>
                    <w:sdtPr>
                      <w:rPr>
                        <w:b/>
                        <w:bCs/>
                        <w:sz w:val="20"/>
                        <w:szCs w:val="20"/>
                      </w:rPr>
                      <w:id w:val="-682828640"/>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7B8BD2E0" w14:textId="77777777" w:rsidR="00A521DF" w:rsidRPr="00ED64CA" w:rsidRDefault="008530DA" w:rsidP="00A521DF">
                  <w:pPr>
                    <w:spacing w:before="40" w:after="40"/>
                    <w:jc w:val="center"/>
                    <w:rPr>
                      <w:b/>
                      <w:bCs/>
                      <w:sz w:val="20"/>
                      <w:szCs w:val="20"/>
                    </w:rPr>
                  </w:pPr>
                  <w:sdt>
                    <w:sdtPr>
                      <w:rPr>
                        <w:b/>
                        <w:bCs/>
                        <w:sz w:val="20"/>
                        <w:szCs w:val="20"/>
                      </w:rPr>
                      <w:id w:val="111540063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3E25DE33" w14:textId="77777777" w:rsidR="00A521DF" w:rsidRPr="00ED64CA" w:rsidRDefault="008530DA" w:rsidP="00A521DF">
                  <w:pPr>
                    <w:spacing w:before="40" w:after="40"/>
                    <w:jc w:val="center"/>
                    <w:rPr>
                      <w:b/>
                      <w:bCs/>
                      <w:sz w:val="20"/>
                      <w:szCs w:val="20"/>
                    </w:rPr>
                  </w:pPr>
                  <w:sdt>
                    <w:sdtPr>
                      <w:rPr>
                        <w:b/>
                        <w:bCs/>
                        <w:sz w:val="20"/>
                        <w:szCs w:val="20"/>
                      </w:rPr>
                      <w:id w:val="1454376736"/>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4DCA2A0F" w14:textId="77777777" w:rsidR="00A521DF" w:rsidRPr="00ED64CA" w:rsidRDefault="008530DA" w:rsidP="00A521DF">
                  <w:pPr>
                    <w:spacing w:before="40" w:after="40"/>
                    <w:jc w:val="center"/>
                    <w:rPr>
                      <w:b/>
                      <w:bCs/>
                      <w:sz w:val="20"/>
                      <w:szCs w:val="20"/>
                    </w:rPr>
                  </w:pPr>
                  <w:sdt>
                    <w:sdtPr>
                      <w:rPr>
                        <w:b/>
                        <w:bCs/>
                        <w:sz w:val="20"/>
                        <w:szCs w:val="20"/>
                      </w:rPr>
                      <w:id w:val="-190421462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7C0ED8DC" w14:textId="77777777" w:rsidR="00A521DF" w:rsidRDefault="00A521D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617137F8" w14:textId="77777777" w:rsidTr="00497913">
              <w:tc>
                <w:tcPr>
                  <w:tcW w:w="652" w:type="dxa"/>
                </w:tcPr>
                <w:p w14:paraId="16F2AD46" w14:textId="77777777" w:rsidR="00A521DF" w:rsidRPr="00ED64CA" w:rsidRDefault="008530DA" w:rsidP="00A521DF">
                  <w:pPr>
                    <w:spacing w:before="40" w:after="40"/>
                    <w:jc w:val="center"/>
                    <w:rPr>
                      <w:b/>
                      <w:bCs/>
                      <w:sz w:val="20"/>
                      <w:szCs w:val="20"/>
                    </w:rPr>
                  </w:pPr>
                  <w:sdt>
                    <w:sdtPr>
                      <w:rPr>
                        <w:b/>
                        <w:bCs/>
                        <w:sz w:val="20"/>
                        <w:szCs w:val="20"/>
                      </w:rPr>
                      <w:id w:val="-1052466863"/>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76EE13DE" w14:textId="77777777" w:rsidR="00A521DF" w:rsidRPr="00ED64CA" w:rsidRDefault="008530DA" w:rsidP="00A521DF">
                  <w:pPr>
                    <w:spacing w:before="40" w:after="40"/>
                    <w:jc w:val="center"/>
                    <w:rPr>
                      <w:b/>
                      <w:bCs/>
                      <w:sz w:val="20"/>
                      <w:szCs w:val="20"/>
                    </w:rPr>
                  </w:pPr>
                  <w:sdt>
                    <w:sdtPr>
                      <w:rPr>
                        <w:b/>
                        <w:bCs/>
                        <w:sz w:val="20"/>
                        <w:szCs w:val="20"/>
                      </w:rPr>
                      <w:id w:val="13338283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267D29C1" w14:textId="77777777" w:rsidR="00A521DF" w:rsidRPr="00ED64CA" w:rsidRDefault="008530DA" w:rsidP="00A521DF">
                  <w:pPr>
                    <w:spacing w:before="40" w:after="40"/>
                    <w:jc w:val="center"/>
                    <w:rPr>
                      <w:b/>
                      <w:bCs/>
                      <w:sz w:val="20"/>
                      <w:szCs w:val="20"/>
                    </w:rPr>
                  </w:pPr>
                  <w:sdt>
                    <w:sdtPr>
                      <w:rPr>
                        <w:b/>
                        <w:bCs/>
                        <w:sz w:val="20"/>
                        <w:szCs w:val="20"/>
                      </w:rPr>
                      <w:id w:val="-211373170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2AB79F91" w14:textId="77777777" w:rsidR="00A521DF" w:rsidRPr="00ED64CA" w:rsidRDefault="008530DA" w:rsidP="00A521DF">
                  <w:pPr>
                    <w:spacing w:before="40" w:after="40"/>
                    <w:jc w:val="center"/>
                    <w:rPr>
                      <w:b/>
                      <w:bCs/>
                      <w:sz w:val="20"/>
                      <w:szCs w:val="20"/>
                    </w:rPr>
                  </w:pPr>
                  <w:sdt>
                    <w:sdtPr>
                      <w:rPr>
                        <w:b/>
                        <w:bCs/>
                        <w:sz w:val="20"/>
                        <w:szCs w:val="20"/>
                      </w:rPr>
                      <w:id w:val="104224655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0B1E938C" w14:textId="77777777" w:rsidR="00A521DF" w:rsidRP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550DC415" w14:textId="77777777" w:rsidTr="00497913">
              <w:tc>
                <w:tcPr>
                  <w:tcW w:w="652" w:type="dxa"/>
                </w:tcPr>
                <w:p w14:paraId="6AB14DC3" w14:textId="77777777" w:rsidR="00A521DF" w:rsidRPr="00ED64CA" w:rsidRDefault="008530DA" w:rsidP="00A521DF">
                  <w:pPr>
                    <w:spacing w:before="40" w:after="40"/>
                    <w:jc w:val="center"/>
                    <w:rPr>
                      <w:b/>
                      <w:bCs/>
                      <w:sz w:val="20"/>
                      <w:szCs w:val="20"/>
                    </w:rPr>
                  </w:pPr>
                  <w:sdt>
                    <w:sdtPr>
                      <w:rPr>
                        <w:b/>
                        <w:bCs/>
                        <w:sz w:val="20"/>
                        <w:szCs w:val="20"/>
                      </w:rPr>
                      <w:id w:val="1579018272"/>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2F012E72" w14:textId="77777777" w:rsidR="00A521DF" w:rsidRPr="00ED64CA" w:rsidRDefault="008530DA" w:rsidP="00A521DF">
                  <w:pPr>
                    <w:spacing w:before="40" w:after="40"/>
                    <w:jc w:val="center"/>
                    <w:rPr>
                      <w:b/>
                      <w:bCs/>
                      <w:sz w:val="20"/>
                      <w:szCs w:val="20"/>
                    </w:rPr>
                  </w:pPr>
                  <w:sdt>
                    <w:sdtPr>
                      <w:rPr>
                        <w:b/>
                        <w:bCs/>
                        <w:sz w:val="20"/>
                        <w:szCs w:val="20"/>
                      </w:rPr>
                      <w:id w:val="2117405415"/>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5B5FA7E0" w14:textId="77777777" w:rsidR="00A521DF" w:rsidRPr="00ED64CA" w:rsidRDefault="008530DA" w:rsidP="00A521DF">
                  <w:pPr>
                    <w:spacing w:before="40" w:after="40"/>
                    <w:jc w:val="center"/>
                    <w:rPr>
                      <w:b/>
                      <w:bCs/>
                      <w:sz w:val="20"/>
                      <w:szCs w:val="20"/>
                    </w:rPr>
                  </w:pPr>
                  <w:sdt>
                    <w:sdtPr>
                      <w:rPr>
                        <w:b/>
                        <w:bCs/>
                        <w:sz w:val="20"/>
                        <w:szCs w:val="20"/>
                      </w:rPr>
                      <w:id w:val="-189672726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7FB81BC1" w14:textId="77777777" w:rsidR="00A521DF" w:rsidRPr="00ED64CA" w:rsidRDefault="008530DA" w:rsidP="00A521DF">
                  <w:pPr>
                    <w:spacing w:before="40" w:after="40"/>
                    <w:jc w:val="center"/>
                    <w:rPr>
                      <w:b/>
                      <w:bCs/>
                      <w:sz w:val="20"/>
                      <w:szCs w:val="20"/>
                    </w:rPr>
                  </w:pPr>
                  <w:sdt>
                    <w:sdtPr>
                      <w:rPr>
                        <w:b/>
                        <w:bCs/>
                        <w:sz w:val="20"/>
                        <w:szCs w:val="20"/>
                      </w:rPr>
                      <w:id w:val="-97553010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7D84D1AD" w14:textId="77777777" w:rsidR="00A521DF" w:rsidRP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1CF73FE3" w14:textId="77777777" w:rsidTr="00497913">
              <w:tc>
                <w:tcPr>
                  <w:tcW w:w="652" w:type="dxa"/>
                </w:tcPr>
                <w:p w14:paraId="0BEF840A" w14:textId="77777777" w:rsidR="00A521DF" w:rsidRPr="00ED64CA" w:rsidRDefault="008530DA" w:rsidP="00A521DF">
                  <w:pPr>
                    <w:spacing w:before="40" w:after="40"/>
                    <w:jc w:val="center"/>
                    <w:rPr>
                      <w:b/>
                      <w:bCs/>
                      <w:sz w:val="20"/>
                      <w:szCs w:val="20"/>
                    </w:rPr>
                  </w:pPr>
                  <w:sdt>
                    <w:sdtPr>
                      <w:rPr>
                        <w:b/>
                        <w:bCs/>
                        <w:sz w:val="20"/>
                        <w:szCs w:val="20"/>
                      </w:rPr>
                      <w:id w:val="-690449901"/>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7EA9392A" w14:textId="77777777" w:rsidR="00A521DF" w:rsidRPr="00ED64CA" w:rsidRDefault="008530DA" w:rsidP="00A521DF">
                  <w:pPr>
                    <w:spacing w:before="40" w:after="40"/>
                    <w:jc w:val="center"/>
                    <w:rPr>
                      <w:b/>
                      <w:bCs/>
                      <w:sz w:val="20"/>
                      <w:szCs w:val="20"/>
                    </w:rPr>
                  </w:pPr>
                  <w:sdt>
                    <w:sdtPr>
                      <w:rPr>
                        <w:b/>
                        <w:bCs/>
                        <w:sz w:val="20"/>
                        <w:szCs w:val="20"/>
                      </w:rPr>
                      <w:id w:val="139030436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3D02EFAD" w14:textId="77777777" w:rsidR="00A521DF" w:rsidRPr="00ED64CA" w:rsidRDefault="008530DA" w:rsidP="00A521DF">
                  <w:pPr>
                    <w:spacing w:before="40" w:after="40"/>
                    <w:jc w:val="center"/>
                    <w:rPr>
                      <w:b/>
                      <w:bCs/>
                      <w:sz w:val="20"/>
                      <w:szCs w:val="20"/>
                    </w:rPr>
                  </w:pPr>
                  <w:sdt>
                    <w:sdtPr>
                      <w:rPr>
                        <w:b/>
                        <w:bCs/>
                        <w:sz w:val="20"/>
                        <w:szCs w:val="20"/>
                      </w:rPr>
                      <w:id w:val="-46627416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34B19D95" w14:textId="77777777" w:rsidR="00A521DF" w:rsidRPr="00ED64CA" w:rsidRDefault="008530DA" w:rsidP="00A521DF">
                  <w:pPr>
                    <w:spacing w:before="40" w:after="40"/>
                    <w:jc w:val="center"/>
                    <w:rPr>
                      <w:b/>
                      <w:bCs/>
                      <w:sz w:val="20"/>
                      <w:szCs w:val="20"/>
                    </w:rPr>
                  </w:pPr>
                  <w:sdt>
                    <w:sdtPr>
                      <w:rPr>
                        <w:b/>
                        <w:bCs/>
                        <w:sz w:val="20"/>
                        <w:szCs w:val="20"/>
                      </w:rPr>
                      <w:id w:val="113260397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59863B3A" w14:textId="0C2834F8" w:rsidR="00A521DF" w:rsidRPr="000D2E1F" w:rsidRDefault="00A521DF" w:rsidP="003162E6">
            <w:pPr>
              <w:spacing w:before="40" w:after="40"/>
              <w:jc w:val="center"/>
              <w:rPr>
                <w:b/>
                <w:bCs/>
                <w:sz w:val="20"/>
                <w:szCs w:val="20"/>
              </w:rPr>
            </w:pPr>
          </w:p>
        </w:tc>
      </w:tr>
      <w:tr w:rsidR="000D2E1F" w14:paraId="219440D5" w14:textId="77777777" w:rsidTr="00E010DB">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09821F92" w14:textId="77777777" w:rsidR="003760F7" w:rsidRPr="003A0E6E" w:rsidRDefault="003760F7" w:rsidP="003162E6">
            <w:pPr>
              <w:spacing w:before="40" w:after="40"/>
              <w:ind w:left="360" w:hanging="331"/>
              <w:rPr>
                <w:sz w:val="18"/>
                <w:szCs w:val="18"/>
              </w:rPr>
            </w:pPr>
            <w:r>
              <w:rPr>
                <w:sz w:val="18"/>
                <w:szCs w:val="18"/>
              </w:rPr>
              <w:lastRenderedPageBreak/>
              <w:t xml:space="preserve">1c.   </w:t>
            </w:r>
            <w:r w:rsidRPr="003B6205">
              <w:rPr>
                <w:b/>
                <w:sz w:val="18"/>
                <w:szCs w:val="18"/>
              </w:rPr>
              <w:t xml:space="preserve">Quality and rigor in pathways: </w:t>
            </w:r>
            <w:r w:rsidRPr="003A0E6E">
              <w:rPr>
                <w:bCs/>
                <w:sz w:val="18"/>
                <w:szCs w:val="18"/>
              </w:rPr>
              <w:t>Career</w:t>
            </w:r>
            <w:r w:rsidRPr="003B6205">
              <w:rPr>
                <w:sz w:val="18"/>
                <w:szCs w:val="18"/>
              </w:rPr>
              <w:t xml:space="preserve"> pathways </w:t>
            </w:r>
            <w:r>
              <w:rPr>
                <w:sz w:val="18"/>
                <w:szCs w:val="18"/>
              </w:rPr>
              <w:t>approved</w:t>
            </w:r>
            <w:r w:rsidRPr="003B6205">
              <w:rPr>
                <w:sz w:val="18"/>
                <w:szCs w:val="18"/>
              </w:rPr>
              <w:t xml:space="preserve"> by state</w:t>
            </w:r>
            <w:r>
              <w:rPr>
                <w:sz w:val="18"/>
                <w:szCs w:val="18"/>
              </w:rPr>
              <w:t xml:space="preserve"> and/or local agencies</w:t>
            </w:r>
            <w:r w:rsidRPr="003B6205">
              <w:rPr>
                <w:sz w:val="18"/>
                <w:szCs w:val="18"/>
              </w:rPr>
              <w:t xml:space="preserve"> develop the core academic knowledge, technical skills, and </w:t>
            </w:r>
            <w:r>
              <w:rPr>
                <w:sz w:val="18"/>
                <w:szCs w:val="18"/>
              </w:rPr>
              <w:t>professional</w:t>
            </w:r>
            <w:r w:rsidRPr="003B6205">
              <w:rPr>
                <w:sz w:val="18"/>
                <w:szCs w:val="18"/>
              </w:rPr>
              <w:t xml:space="preserve"> skills</w:t>
            </w:r>
            <w:r>
              <w:rPr>
                <w:sz w:val="18"/>
                <w:szCs w:val="18"/>
              </w:rPr>
              <w:t xml:space="preserve"> through intentional course sequences that</w:t>
            </w:r>
            <w:r w:rsidRPr="003B6205">
              <w:rPr>
                <w:sz w:val="18"/>
                <w:szCs w:val="18"/>
              </w:rPr>
              <w:t xml:space="preserve"> students need to be successful in college and the </w:t>
            </w:r>
            <w:proofErr w:type="gramStart"/>
            <w:r w:rsidRPr="003B6205">
              <w:rPr>
                <w:sz w:val="18"/>
                <w:szCs w:val="18"/>
              </w:rPr>
              <w:t>work place</w:t>
            </w:r>
            <w:proofErr w:type="gramEnd"/>
            <w:r>
              <w:rPr>
                <w:sz w:val="18"/>
                <w:szCs w:val="18"/>
              </w:rPr>
              <w:t>.</w:t>
            </w:r>
          </w:p>
          <w:p w14:paraId="0F86F503" w14:textId="77777777" w:rsidR="000D2E1F" w:rsidRPr="003B6205" w:rsidRDefault="000D2E1F" w:rsidP="003162E6">
            <w:pPr>
              <w:spacing w:before="40" w:after="40"/>
              <w:rPr>
                <w:b/>
                <w:sz w:val="20"/>
                <w:szCs w:val="20"/>
                <w:u w:val="single"/>
              </w:rPr>
            </w:pP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2914B853" w14:textId="77777777" w:rsidR="003760F7" w:rsidRPr="00A521DF" w:rsidRDefault="003760F7" w:rsidP="003162E6">
            <w:pPr>
              <w:spacing w:before="40" w:after="40"/>
              <w:rPr>
                <w:b/>
                <w:bCs/>
                <w:sz w:val="20"/>
                <w:szCs w:val="20"/>
              </w:rPr>
            </w:pPr>
            <w:r w:rsidRPr="00A521DF">
              <w:rPr>
                <w:b/>
                <w:bCs/>
                <w:sz w:val="20"/>
                <w:szCs w:val="20"/>
              </w:rPr>
              <w:t>Target outcome 1c: Quality and rigor in pathways</w:t>
            </w:r>
          </w:p>
          <w:p w14:paraId="1AF0066C" w14:textId="33F5464C" w:rsidR="003760F7" w:rsidRPr="00497913" w:rsidRDefault="003760F7" w:rsidP="00A44D7D">
            <w:pPr>
              <w:pStyle w:val="ListParagraph"/>
              <w:numPr>
                <w:ilvl w:val="0"/>
                <w:numId w:val="12"/>
              </w:numPr>
              <w:spacing w:before="40" w:after="40"/>
              <w:ind w:left="405"/>
              <w:rPr>
                <w:sz w:val="18"/>
                <w:szCs w:val="18"/>
              </w:rPr>
            </w:pPr>
            <w:r w:rsidRPr="00497913">
              <w:rPr>
                <w:rFonts w:cs="Calibri"/>
                <w:sz w:val="18"/>
                <w:szCs w:val="18"/>
              </w:rPr>
              <w:t>All</w:t>
            </w:r>
            <w:r w:rsidR="00533DC9">
              <w:rPr>
                <w:rFonts w:cs="Calibri"/>
                <w:sz w:val="18"/>
                <w:szCs w:val="18"/>
              </w:rPr>
              <w:t xml:space="preserve"> local</w:t>
            </w:r>
            <w:r w:rsidRPr="00497913">
              <w:rPr>
                <w:rFonts w:cs="Calibri"/>
                <w:sz w:val="18"/>
                <w:szCs w:val="18"/>
              </w:rPr>
              <w:t xml:space="preserve"> career pathways begin broadly, initially focusing on career awareness and exposure and progress to more </w:t>
            </w:r>
            <w:proofErr w:type="gramStart"/>
            <w:r w:rsidRPr="00497913">
              <w:rPr>
                <w:rFonts w:cs="Calibri"/>
                <w:sz w:val="18"/>
                <w:szCs w:val="18"/>
              </w:rPr>
              <w:t>occupationally-specific</w:t>
            </w:r>
            <w:proofErr w:type="gramEnd"/>
            <w:r w:rsidRPr="00497913">
              <w:rPr>
                <w:rFonts w:cs="Calibri"/>
                <w:sz w:val="18"/>
                <w:szCs w:val="18"/>
              </w:rPr>
              <w:t xml:space="preserve"> courses.</w:t>
            </w:r>
            <w:r w:rsidR="00A521DF" w:rsidRPr="00497913">
              <w:rPr>
                <w:rFonts w:cs="Calibri"/>
                <w:sz w:val="18"/>
                <w:szCs w:val="18"/>
              </w:rPr>
              <w:br/>
            </w:r>
          </w:p>
          <w:p w14:paraId="05330E8B" w14:textId="01F346D2" w:rsidR="003760F7" w:rsidRPr="000B0719" w:rsidRDefault="003760F7" w:rsidP="00A44D7D">
            <w:pPr>
              <w:pStyle w:val="ListParagraph"/>
              <w:numPr>
                <w:ilvl w:val="0"/>
                <w:numId w:val="12"/>
              </w:numPr>
              <w:spacing w:before="40" w:after="40"/>
              <w:ind w:left="405"/>
              <w:rPr>
                <w:sz w:val="18"/>
                <w:szCs w:val="18"/>
              </w:rPr>
            </w:pPr>
            <w:r>
              <w:rPr>
                <w:sz w:val="18"/>
                <w:szCs w:val="18"/>
              </w:rPr>
              <w:t>The sequence of courses within</w:t>
            </w:r>
            <w:r w:rsidR="00533DC9">
              <w:rPr>
                <w:sz w:val="18"/>
                <w:szCs w:val="18"/>
              </w:rPr>
              <w:t xml:space="preserve"> local</w:t>
            </w:r>
            <w:r>
              <w:rPr>
                <w:sz w:val="18"/>
                <w:szCs w:val="18"/>
              </w:rPr>
              <w:t xml:space="preserve"> career pathways </w:t>
            </w:r>
            <w:r w:rsidR="00533DC9">
              <w:rPr>
                <w:sz w:val="18"/>
                <w:szCs w:val="18"/>
              </w:rPr>
              <w:t xml:space="preserve">is </w:t>
            </w:r>
            <w:r>
              <w:rPr>
                <w:sz w:val="18"/>
                <w:szCs w:val="18"/>
              </w:rPr>
              <w:t>designed to develop academic, technical, and employability knowledge and skills.</w:t>
            </w:r>
            <w:r w:rsidR="00A521DF">
              <w:rPr>
                <w:sz w:val="18"/>
                <w:szCs w:val="18"/>
              </w:rPr>
              <w:br/>
            </w:r>
          </w:p>
          <w:p w14:paraId="12C18B8B" w14:textId="6CF09FC2" w:rsidR="003760F7" w:rsidRPr="003B6205" w:rsidRDefault="00533DC9" w:rsidP="00A44D7D">
            <w:pPr>
              <w:pStyle w:val="ListParagraph"/>
              <w:numPr>
                <w:ilvl w:val="0"/>
                <w:numId w:val="12"/>
              </w:numPr>
              <w:spacing w:before="40" w:after="40"/>
              <w:ind w:left="405"/>
              <w:rPr>
                <w:sz w:val="18"/>
                <w:szCs w:val="18"/>
              </w:rPr>
            </w:pPr>
            <w:r>
              <w:rPr>
                <w:rFonts w:cs="Calibri"/>
                <w:sz w:val="18"/>
                <w:szCs w:val="18"/>
              </w:rPr>
              <w:t>Local c</w:t>
            </w:r>
            <w:r w:rsidR="003760F7">
              <w:rPr>
                <w:rFonts w:cs="Calibri"/>
                <w:sz w:val="18"/>
                <w:szCs w:val="18"/>
              </w:rPr>
              <w:t>areer pathways</w:t>
            </w:r>
            <w:r w:rsidR="003760F7" w:rsidRPr="003B6205">
              <w:rPr>
                <w:rFonts w:cs="Calibri"/>
                <w:sz w:val="18"/>
                <w:szCs w:val="18"/>
              </w:rPr>
              <w:t xml:space="preserve"> offer multiple entry and exit points to enable students to change paths as their interests and go</w:t>
            </w:r>
            <w:r w:rsidR="003760F7">
              <w:rPr>
                <w:rFonts w:cs="Calibri"/>
                <w:sz w:val="18"/>
                <w:szCs w:val="18"/>
              </w:rPr>
              <w:t>als evolve.</w:t>
            </w:r>
            <w:r w:rsidR="00A521DF">
              <w:rPr>
                <w:rFonts w:cs="Calibri"/>
                <w:sz w:val="18"/>
                <w:szCs w:val="18"/>
              </w:rPr>
              <w:br/>
            </w:r>
          </w:p>
          <w:p w14:paraId="26130AF2" w14:textId="6D0A1413" w:rsidR="003760F7" w:rsidRPr="006654C4" w:rsidRDefault="003760F7" w:rsidP="00A44D7D">
            <w:pPr>
              <w:pStyle w:val="ListParagraph"/>
              <w:numPr>
                <w:ilvl w:val="0"/>
                <w:numId w:val="12"/>
              </w:numPr>
              <w:spacing w:before="40" w:after="40"/>
              <w:ind w:left="405"/>
              <w:rPr>
                <w:sz w:val="18"/>
                <w:szCs w:val="18"/>
              </w:rPr>
            </w:pPr>
            <w:r w:rsidRPr="002D639D">
              <w:rPr>
                <w:rFonts w:cs="Calibri"/>
                <w:sz w:val="18"/>
                <w:szCs w:val="18"/>
              </w:rPr>
              <w:t>State policies and incentives help districts and schools recruit industry professionals with sought-after technical knowledge and skills and demonstrated teaching ability</w:t>
            </w:r>
            <w:r>
              <w:rPr>
                <w:rFonts w:cs="Calibri"/>
                <w:sz w:val="18"/>
                <w:szCs w:val="18"/>
              </w:rPr>
              <w:t>, and t</w:t>
            </w:r>
            <w:r w:rsidRPr="006654C4">
              <w:rPr>
                <w:rFonts w:cs="Calibri"/>
                <w:sz w:val="18"/>
                <w:szCs w:val="18"/>
              </w:rPr>
              <w:t>he state removes policy barriers and streamlines certification procedures to make teaching more attractive and accessible to such candidates.</w:t>
            </w:r>
            <w:r w:rsidR="00A521DF">
              <w:rPr>
                <w:rFonts w:cs="Calibri"/>
                <w:sz w:val="18"/>
                <w:szCs w:val="18"/>
              </w:rPr>
              <w:br/>
            </w:r>
          </w:p>
          <w:p w14:paraId="4397A946" w14:textId="36B11278" w:rsidR="003760F7" w:rsidRPr="002D639D" w:rsidRDefault="003760F7" w:rsidP="00A44D7D">
            <w:pPr>
              <w:pStyle w:val="ListParagraph"/>
              <w:numPr>
                <w:ilvl w:val="0"/>
                <w:numId w:val="12"/>
              </w:numPr>
              <w:spacing w:before="40" w:after="40"/>
              <w:ind w:left="405"/>
              <w:rPr>
                <w:sz w:val="18"/>
                <w:szCs w:val="18"/>
              </w:rPr>
            </w:pPr>
            <w:r w:rsidRPr="002D639D">
              <w:rPr>
                <w:rFonts w:cs="Calibri"/>
                <w:sz w:val="18"/>
                <w:szCs w:val="18"/>
              </w:rPr>
              <w:t xml:space="preserve">State and local professional development opportunities and incentives enable core academic and career-technical teachers to earn credentials in high-skill, </w:t>
            </w:r>
            <w:r>
              <w:rPr>
                <w:rFonts w:cs="Calibri"/>
                <w:sz w:val="18"/>
                <w:szCs w:val="18"/>
              </w:rPr>
              <w:t>in</w:t>
            </w:r>
            <w:r w:rsidRPr="002D639D">
              <w:rPr>
                <w:rFonts w:cs="Calibri"/>
                <w:sz w:val="18"/>
                <w:szCs w:val="18"/>
              </w:rPr>
              <w:t>-demand fields and strengthen their instructional practices in related pathways.</w:t>
            </w:r>
            <w:r w:rsidR="00A521DF">
              <w:rPr>
                <w:rFonts w:cs="Calibri"/>
                <w:sz w:val="18"/>
                <w:szCs w:val="18"/>
              </w:rPr>
              <w:br/>
            </w:r>
          </w:p>
          <w:p w14:paraId="2C45C796" w14:textId="421E4475" w:rsidR="003760F7" w:rsidRDefault="003760F7" w:rsidP="00A44D7D">
            <w:pPr>
              <w:pStyle w:val="ListParagraph"/>
              <w:numPr>
                <w:ilvl w:val="0"/>
                <w:numId w:val="12"/>
              </w:numPr>
              <w:spacing w:before="40" w:after="40"/>
              <w:ind w:left="405"/>
              <w:rPr>
                <w:sz w:val="18"/>
                <w:szCs w:val="18"/>
              </w:rPr>
            </w:pPr>
            <w:r w:rsidRPr="002D639D">
              <w:rPr>
                <w:sz w:val="18"/>
                <w:szCs w:val="18"/>
              </w:rPr>
              <w:t>There is adequate capacity within the districts</w:t>
            </w:r>
            <w:r>
              <w:rPr>
                <w:sz w:val="18"/>
                <w:szCs w:val="18"/>
              </w:rPr>
              <w:t>’</w:t>
            </w:r>
            <w:r w:rsidRPr="002D639D">
              <w:rPr>
                <w:sz w:val="18"/>
                <w:szCs w:val="18"/>
              </w:rPr>
              <w:t xml:space="preserve"> </w:t>
            </w:r>
            <w:r>
              <w:rPr>
                <w:sz w:val="18"/>
                <w:szCs w:val="18"/>
              </w:rPr>
              <w:t>and/</w:t>
            </w:r>
            <w:r w:rsidRPr="002D639D">
              <w:rPr>
                <w:sz w:val="18"/>
                <w:szCs w:val="18"/>
              </w:rPr>
              <w:t>or higher education institutions</w:t>
            </w:r>
            <w:r>
              <w:rPr>
                <w:sz w:val="18"/>
                <w:szCs w:val="18"/>
              </w:rPr>
              <w:t>’</w:t>
            </w:r>
            <w:r w:rsidRPr="002D639D">
              <w:rPr>
                <w:sz w:val="18"/>
                <w:szCs w:val="18"/>
              </w:rPr>
              <w:t xml:space="preserve"> current and/or projected workforce to effectively deliver instruction</w:t>
            </w:r>
            <w:r>
              <w:rPr>
                <w:sz w:val="18"/>
                <w:szCs w:val="18"/>
              </w:rPr>
              <w:t xml:space="preserve"> across pathways courses</w:t>
            </w:r>
            <w:r w:rsidRPr="002D639D">
              <w:rPr>
                <w:sz w:val="18"/>
                <w:szCs w:val="18"/>
              </w:rPr>
              <w:t xml:space="preserve"> to reach intended student learning outcomes.</w:t>
            </w:r>
            <w:r w:rsidR="00A521DF">
              <w:rPr>
                <w:sz w:val="18"/>
                <w:szCs w:val="18"/>
              </w:rPr>
              <w:br/>
            </w:r>
          </w:p>
          <w:p w14:paraId="4772277E" w14:textId="14178AD8" w:rsidR="000D2E1F" w:rsidRPr="009E1EDF" w:rsidRDefault="003760F7" w:rsidP="00A44D7D">
            <w:pPr>
              <w:pStyle w:val="ListParagraph"/>
              <w:numPr>
                <w:ilvl w:val="0"/>
                <w:numId w:val="12"/>
              </w:numPr>
              <w:spacing w:before="40" w:after="40"/>
              <w:ind w:left="405"/>
              <w:rPr>
                <w:sz w:val="18"/>
                <w:szCs w:val="18"/>
              </w:rPr>
            </w:pPr>
            <w:r w:rsidRPr="00E010DB">
              <w:rPr>
                <w:sz w:val="18"/>
                <w:szCs w:val="18"/>
              </w:rPr>
              <w:t xml:space="preserve">School districts and higher education institutions have adequate access to industry expertise across pathways whether </w:t>
            </w:r>
            <w:proofErr w:type="gramStart"/>
            <w:r w:rsidRPr="00E010DB">
              <w:rPr>
                <w:sz w:val="18"/>
                <w:szCs w:val="18"/>
              </w:rPr>
              <w:t>they’re</w:t>
            </w:r>
            <w:proofErr w:type="gramEnd"/>
            <w:r w:rsidRPr="00E010DB">
              <w:rPr>
                <w:sz w:val="18"/>
                <w:szCs w:val="18"/>
              </w:rPr>
              <w:t xml:space="preserve"> providing that expertise through a full-time teacher or leveraging an industry advisor to augment classroom instruction.</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77EE8562" w14:textId="77777777" w:rsidR="000D2E1F" w:rsidRDefault="000D2E1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0598D3FA" w14:textId="77777777" w:rsidTr="00497913">
              <w:tc>
                <w:tcPr>
                  <w:tcW w:w="652" w:type="dxa"/>
                </w:tcPr>
                <w:p w14:paraId="669C50FE" w14:textId="77777777" w:rsidR="00A521DF" w:rsidRPr="00ED64CA" w:rsidRDefault="008530DA" w:rsidP="00A521DF">
                  <w:pPr>
                    <w:spacing w:before="40" w:after="40"/>
                    <w:jc w:val="center"/>
                    <w:rPr>
                      <w:b/>
                      <w:bCs/>
                      <w:sz w:val="20"/>
                      <w:szCs w:val="20"/>
                    </w:rPr>
                  </w:pPr>
                  <w:sdt>
                    <w:sdtPr>
                      <w:rPr>
                        <w:b/>
                        <w:bCs/>
                        <w:sz w:val="20"/>
                        <w:szCs w:val="20"/>
                      </w:rPr>
                      <w:id w:val="687807853"/>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15DC0521" w14:textId="77777777" w:rsidR="00A521DF" w:rsidRPr="00ED64CA" w:rsidRDefault="008530DA" w:rsidP="00A521DF">
                  <w:pPr>
                    <w:spacing w:before="40" w:after="40"/>
                    <w:jc w:val="center"/>
                    <w:rPr>
                      <w:b/>
                      <w:bCs/>
                      <w:sz w:val="20"/>
                      <w:szCs w:val="20"/>
                    </w:rPr>
                  </w:pPr>
                  <w:sdt>
                    <w:sdtPr>
                      <w:rPr>
                        <w:b/>
                        <w:bCs/>
                        <w:sz w:val="20"/>
                        <w:szCs w:val="20"/>
                      </w:rPr>
                      <w:id w:val="1013416866"/>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34BD8932" w14:textId="77777777" w:rsidR="00A521DF" w:rsidRPr="00ED64CA" w:rsidRDefault="008530DA" w:rsidP="00A521DF">
                  <w:pPr>
                    <w:spacing w:before="40" w:after="40"/>
                    <w:jc w:val="center"/>
                    <w:rPr>
                      <w:b/>
                      <w:bCs/>
                      <w:sz w:val="20"/>
                      <w:szCs w:val="20"/>
                    </w:rPr>
                  </w:pPr>
                  <w:sdt>
                    <w:sdtPr>
                      <w:rPr>
                        <w:b/>
                        <w:bCs/>
                        <w:sz w:val="20"/>
                        <w:szCs w:val="20"/>
                      </w:rPr>
                      <w:id w:val="74946949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66452492" w14:textId="77777777" w:rsidR="00A521DF" w:rsidRPr="00ED64CA" w:rsidRDefault="008530DA" w:rsidP="00A521DF">
                  <w:pPr>
                    <w:spacing w:before="40" w:after="40"/>
                    <w:jc w:val="center"/>
                    <w:rPr>
                      <w:b/>
                      <w:bCs/>
                      <w:sz w:val="20"/>
                      <w:szCs w:val="20"/>
                    </w:rPr>
                  </w:pPr>
                  <w:sdt>
                    <w:sdtPr>
                      <w:rPr>
                        <w:b/>
                        <w:bCs/>
                        <w:sz w:val="20"/>
                        <w:szCs w:val="20"/>
                      </w:rPr>
                      <w:id w:val="-317496126"/>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151E391A" w14:textId="77777777" w:rsid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2E396F29" w14:textId="77777777" w:rsidTr="00497913">
              <w:tc>
                <w:tcPr>
                  <w:tcW w:w="652" w:type="dxa"/>
                </w:tcPr>
                <w:p w14:paraId="4249F672" w14:textId="77777777" w:rsidR="00A521DF" w:rsidRPr="00ED64CA" w:rsidRDefault="008530DA" w:rsidP="00A521DF">
                  <w:pPr>
                    <w:spacing w:before="40" w:after="40"/>
                    <w:jc w:val="center"/>
                    <w:rPr>
                      <w:b/>
                      <w:bCs/>
                      <w:sz w:val="20"/>
                      <w:szCs w:val="20"/>
                    </w:rPr>
                  </w:pPr>
                  <w:sdt>
                    <w:sdtPr>
                      <w:rPr>
                        <w:b/>
                        <w:bCs/>
                        <w:sz w:val="20"/>
                        <w:szCs w:val="20"/>
                      </w:rPr>
                      <w:id w:val="-2029868715"/>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2A8044DD" w14:textId="77777777" w:rsidR="00A521DF" w:rsidRPr="00ED64CA" w:rsidRDefault="008530DA" w:rsidP="00A521DF">
                  <w:pPr>
                    <w:spacing w:before="40" w:after="40"/>
                    <w:jc w:val="center"/>
                    <w:rPr>
                      <w:b/>
                      <w:bCs/>
                      <w:sz w:val="20"/>
                      <w:szCs w:val="20"/>
                    </w:rPr>
                  </w:pPr>
                  <w:sdt>
                    <w:sdtPr>
                      <w:rPr>
                        <w:b/>
                        <w:bCs/>
                        <w:sz w:val="20"/>
                        <w:szCs w:val="20"/>
                      </w:rPr>
                      <w:id w:val="204162265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15DE96C6" w14:textId="77777777" w:rsidR="00A521DF" w:rsidRPr="00ED64CA" w:rsidRDefault="008530DA" w:rsidP="00A521DF">
                  <w:pPr>
                    <w:spacing w:before="40" w:after="40"/>
                    <w:jc w:val="center"/>
                    <w:rPr>
                      <w:b/>
                      <w:bCs/>
                      <w:sz w:val="20"/>
                      <w:szCs w:val="20"/>
                    </w:rPr>
                  </w:pPr>
                  <w:sdt>
                    <w:sdtPr>
                      <w:rPr>
                        <w:b/>
                        <w:bCs/>
                        <w:sz w:val="20"/>
                        <w:szCs w:val="20"/>
                      </w:rPr>
                      <w:id w:val="-104097095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174ADE28" w14:textId="77777777" w:rsidR="00A521DF" w:rsidRPr="00ED64CA" w:rsidRDefault="008530DA" w:rsidP="00A521DF">
                  <w:pPr>
                    <w:spacing w:before="40" w:after="40"/>
                    <w:jc w:val="center"/>
                    <w:rPr>
                      <w:b/>
                      <w:bCs/>
                      <w:sz w:val="20"/>
                      <w:szCs w:val="20"/>
                    </w:rPr>
                  </w:pPr>
                  <w:sdt>
                    <w:sdtPr>
                      <w:rPr>
                        <w:b/>
                        <w:bCs/>
                        <w:sz w:val="20"/>
                        <w:szCs w:val="20"/>
                      </w:rPr>
                      <w:id w:val="-1598319146"/>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454FF0A9" w14:textId="77777777" w:rsid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5014F3A7" w14:textId="77777777" w:rsidTr="00497913">
              <w:tc>
                <w:tcPr>
                  <w:tcW w:w="652" w:type="dxa"/>
                </w:tcPr>
                <w:p w14:paraId="1F5AC446" w14:textId="77777777" w:rsidR="00A521DF" w:rsidRPr="00ED64CA" w:rsidRDefault="008530DA" w:rsidP="00A521DF">
                  <w:pPr>
                    <w:spacing w:before="40" w:after="40"/>
                    <w:jc w:val="center"/>
                    <w:rPr>
                      <w:b/>
                      <w:bCs/>
                      <w:sz w:val="20"/>
                      <w:szCs w:val="20"/>
                    </w:rPr>
                  </w:pPr>
                  <w:sdt>
                    <w:sdtPr>
                      <w:rPr>
                        <w:b/>
                        <w:bCs/>
                        <w:sz w:val="20"/>
                        <w:szCs w:val="20"/>
                      </w:rPr>
                      <w:id w:val="1302348271"/>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78287683" w14:textId="77777777" w:rsidR="00A521DF" w:rsidRPr="00ED64CA" w:rsidRDefault="008530DA" w:rsidP="00A521DF">
                  <w:pPr>
                    <w:spacing w:before="40" w:after="40"/>
                    <w:jc w:val="center"/>
                    <w:rPr>
                      <w:b/>
                      <w:bCs/>
                      <w:sz w:val="20"/>
                      <w:szCs w:val="20"/>
                    </w:rPr>
                  </w:pPr>
                  <w:sdt>
                    <w:sdtPr>
                      <w:rPr>
                        <w:b/>
                        <w:bCs/>
                        <w:sz w:val="20"/>
                        <w:szCs w:val="20"/>
                      </w:rPr>
                      <w:id w:val="-132812871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43576B90" w14:textId="77777777" w:rsidR="00A521DF" w:rsidRPr="00ED64CA" w:rsidRDefault="008530DA" w:rsidP="00A521DF">
                  <w:pPr>
                    <w:spacing w:before="40" w:after="40"/>
                    <w:jc w:val="center"/>
                    <w:rPr>
                      <w:b/>
                      <w:bCs/>
                      <w:sz w:val="20"/>
                      <w:szCs w:val="20"/>
                    </w:rPr>
                  </w:pPr>
                  <w:sdt>
                    <w:sdtPr>
                      <w:rPr>
                        <w:b/>
                        <w:bCs/>
                        <w:sz w:val="20"/>
                        <w:szCs w:val="20"/>
                      </w:rPr>
                      <w:id w:val="-157781914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0BC6436A" w14:textId="77777777" w:rsidR="00A521DF" w:rsidRPr="00ED64CA" w:rsidRDefault="008530DA" w:rsidP="00A521DF">
                  <w:pPr>
                    <w:spacing w:before="40" w:after="40"/>
                    <w:jc w:val="center"/>
                    <w:rPr>
                      <w:b/>
                      <w:bCs/>
                      <w:sz w:val="20"/>
                      <w:szCs w:val="20"/>
                    </w:rPr>
                  </w:pPr>
                  <w:sdt>
                    <w:sdtPr>
                      <w:rPr>
                        <w:b/>
                        <w:bCs/>
                        <w:sz w:val="20"/>
                        <w:szCs w:val="20"/>
                      </w:rPr>
                      <w:id w:val="-193189120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3BB77B01" w14:textId="77777777" w:rsidR="00A521DF" w:rsidRDefault="00A521DF" w:rsidP="003162E6">
            <w:pPr>
              <w:spacing w:before="40" w:after="40"/>
              <w:jc w:val="center"/>
              <w:rPr>
                <w:b/>
                <w:bCs/>
                <w:sz w:val="18"/>
                <w:szCs w:val="18"/>
              </w:rPr>
            </w:pPr>
          </w:p>
          <w:p w14:paraId="782E0C45" w14:textId="77777777" w:rsid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6EC9FA79" w14:textId="77777777" w:rsidTr="00497913">
              <w:tc>
                <w:tcPr>
                  <w:tcW w:w="652" w:type="dxa"/>
                </w:tcPr>
                <w:p w14:paraId="178AF20D" w14:textId="77777777" w:rsidR="00A521DF" w:rsidRPr="00ED64CA" w:rsidRDefault="008530DA" w:rsidP="00A521DF">
                  <w:pPr>
                    <w:spacing w:before="40" w:after="40"/>
                    <w:jc w:val="center"/>
                    <w:rPr>
                      <w:b/>
                      <w:bCs/>
                      <w:sz w:val="20"/>
                      <w:szCs w:val="20"/>
                    </w:rPr>
                  </w:pPr>
                  <w:sdt>
                    <w:sdtPr>
                      <w:rPr>
                        <w:b/>
                        <w:bCs/>
                        <w:sz w:val="20"/>
                        <w:szCs w:val="20"/>
                      </w:rPr>
                      <w:id w:val="859008795"/>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4874925F" w14:textId="77777777" w:rsidR="00A521DF" w:rsidRPr="00ED64CA" w:rsidRDefault="008530DA" w:rsidP="00A521DF">
                  <w:pPr>
                    <w:spacing w:before="40" w:after="40"/>
                    <w:jc w:val="center"/>
                    <w:rPr>
                      <w:b/>
                      <w:bCs/>
                      <w:sz w:val="20"/>
                      <w:szCs w:val="20"/>
                    </w:rPr>
                  </w:pPr>
                  <w:sdt>
                    <w:sdtPr>
                      <w:rPr>
                        <w:b/>
                        <w:bCs/>
                        <w:sz w:val="20"/>
                        <w:szCs w:val="20"/>
                      </w:rPr>
                      <w:id w:val="204756664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3B202273" w14:textId="77777777" w:rsidR="00A521DF" w:rsidRPr="00ED64CA" w:rsidRDefault="008530DA" w:rsidP="00A521DF">
                  <w:pPr>
                    <w:spacing w:before="40" w:after="40"/>
                    <w:jc w:val="center"/>
                    <w:rPr>
                      <w:b/>
                      <w:bCs/>
                      <w:sz w:val="20"/>
                      <w:szCs w:val="20"/>
                    </w:rPr>
                  </w:pPr>
                  <w:sdt>
                    <w:sdtPr>
                      <w:rPr>
                        <w:b/>
                        <w:bCs/>
                        <w:sz w:val="20"/>
                        <w:szCs w:val="20"/>
                      </w:rPr>
                      <w:id w:val="59082420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5AD66ABF" w14:textId="77777777" w:rsidR="00A521DF" w:rsidRPr="00ED64CA" w:rsidRDefault="008530DA" w:rsidP="00A521DF">
                  <w:pPr>
                    <w:spacing w:before="40" w:after="40"/>
                    <w:jc w:val="center"/>
                    <w:rPr>
                      <w:b/>
                      <w:bCs/>
                      <w:sz w:val="20"/>
                      <w:szCs w:val="20"/>
                    </w:rPr>
                  </w:pPr>
                  <w:sdt>
                    <w:sdtPr>
                      <w:rPr>
                        <w:b/>
                        <w:bCs/>
                        <w:sz w:val="20"/>
                        <w:szCs w:val="20"/>
                      </w:rPr>
                      <w:id w:val="1828705158"/>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346A7C82" w14:textId="77777777" w:rsidR="00A521DF" w:rsidRDefault="00A521DF" w:rsidP="003162E6">
            <w:pPr>
              <w:spacing w:before="40" w:after="40"/>
              <w:jc w:val="center"/>
              <w:rPr>
                <w:b/>
                <w:bCs/>
                <w:sz w:val="18"/>
                <w:szCs w:val="18"/>
              </w:rPr>
            </w:pPr>
          </w:p>
          <w:p w14:paraId="0946555D" w14:textId="77777777" w:rsid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14D63EDA" w14:textId="77777777" w:rsidTr="00497913">
              <w:tc>
                <w:tcPr>
                  <w:tcW w:w="652" w:type="dxa"/>
                </w:tcPr>
                <w:p w14:paraId="07669772" w14:textId="77777777" w:rsidR="00A521DF" w:rsidRPr="00ED64CA" w:rsidRDefault="008530DA" w:rsidP="00A521DF">
                  <w:pPr>
                    <w:spacing w:before="40" w:after="40"/>
                    <w:jc w:val="center"/>
                    <w:rPr>
                      <w:b/>
                      <w:bCs/>
                      <w:sz w:val="20"/>
                      <w:szCs w:val="20"/>
                    </w:rPr>
                  </w:pPr>
                  <w:sdt>
                    <w:sdtPr>
                      <w:rPr>
                        <w:b/>
                        <w:bCs/>
                        <w:sz w:val="20"/>
                        <w:szCs w:val="20"/>
                      </w:rPr>
                      <w:id w:val="-729149438"/>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05CCA3D2" w14:textId="77777777" w:rsidR="00A521DF" w:rsidRPr="00ED64CA" w:rsidRDefault="008530DA" w:rsidP="00A521DF">
                  <w:pPr>
                    <w:spacing w:before="40" w:after="40"/>
                    <w:jc w:val="center"/>
                    <w:rPr>
                      <w:b/>
                      <w:bCs/>
                      <w:sz w:val="20"/>
                      <w:szCs w:val="20"/>
                    </w:rPr>
                  </w:pPr>
                  <w:sdt>
                    <w:sdtPr>
                      <w:rPr>
                        <w:b/>
                        <w:bCs/>
                        <w:sz w:val="20"/>
                        <w:szCs w:val="20"/>
                      </w:rPr>
                      <w:id w:val="1466230719"/>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16B553A2" w14:textId="77777777" w:rsidR="00A521DF" w:rsidRPr="00ED64CA" w:rsidRDefault="008530DA" w:rsidP="00A521DF">
                  <w:pPr>
                    <w:spacing w:before="40" w:after="40"/>
                    <w:jc w:val="center"/>
                    <w:rPr>
                      <w:b/>
                      <w:bCs/>
                      <w:sz w:val="20"/>
                      <w:szCs w:val="20"/>
                    </w:rPr>
                  </w:pPr>
                  <w:sdt>
                    <w:sdtPr>
                      <w:rPr>
                        <w:b/>
                        <w:bCs/>
                        <w:sz w:val="20"/>
                        <w:szCs w:val="20"/>
                      </w:rPr>
                      <w:id w:val="-37107723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45562500" w14:textId="77777777" w:rsidR="00A521DF" w:rsidRPr="00ED64CA" w:rsidRDefault="008530DA" w:rsidP="00A521DF">
                  <w:pPr>
                    <w:spacing w:before="40" w:after="40"/>
                    <w:jc w:val="center"/>
                    <w:rPr>
                      <w:b/>
                      <w:bCs/>
                      <w:sz w:val="20"/>
                      <w:szCs w:val="20"/>
                    </w:rPr>
                  </w:pPr>
                  <w:sdt>
                    <w:sdtPr>
                      <w:rPr>
                        <w:b/>
                        <w:bCs/>
                        <w:sz w:val="20"/>
                        <w:szCs w:val="20"/>
                      </w:rPr>
                      <w:id w:val="18056120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04BCDC2E" w14:textId="77777777" w:rsidR="00A521DF" w:rsidRDefault="00A521DF" w:rsidP="003162E6">
            <w:pPr>
              <w:spacing w:before="40" w:after="40"/>
              <w:jc w:val="center"/>
              <w:rPr>
                <w:b/>
                <w:bCs/>
                <w:sz w:val="18"/>
                <w:szCs w:val="18"/>
              </w:rPr>
            </w:pPr>
          </w:p>
          <w:p w14:paraId="25402E0F" w14:textId="77777777" w:rsid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602382B2" w14:textId="77777777" w:rsidTr="00497913">
              <w:tc>
                <w:tcPr>
                  <w:tcW w:w="652" w:type="dxa"/>
                </w:tcPr>
                <w:p w14:paraId="56D8B928" w14:textId="77777777" w:rsidR="00A521DF" w:rsidRPr="00ED64CA" w:rsidRDefault="008530DA" w:rsidP="00A521DF">
                  <w:pPr>
                    <w:spacing w:before="40" w:after="40"/>
                    <w:jc w:val="center"/>
                    <w:rPr>
                      <w:b/>
                      <w:bCs/>
                      <w:sz w:val="20"/>
                      <w:szCs w:val="20"/>
                    </w:rPr>
                  </w:pPr>
                  <w:sdt>
                    <w:sdtPr>
                      <w:rPr>
                        <w:b/>
                        <w:bCs/>
                        <w:sz w:val="20"/>
                        <w:szCs w:val="20"/>
                      </w:rPr>
                      <w:id w:val="1416051500"/>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534411DD" w14:textId="77777777" w:rsidR="00A521DF" w:rsidRPr="00ED64CA" w:rsidRDefault="008530DA" w:rsidP="00A521DF">
                  <w:pPr>
                    <w:spacing w:before="40" w:after="40"/>
                    <w:jc w:val="center"/>
                    <w:rPr>
                      <w:b/>
                      <w:bCs/>
                      <w:sz w:val="20"/>
                      <w:szCs w:val="20"/>
                    </w:rPr>
                  </w:pPr>
                  <w:sdt>
                    <w:sdtPr>
                      <w:rPr>
                        <w:b/>
                        <w:bCs/>
                        <w:sz w:val="20"/>
                        <w:szCs w:val="20"/>
                      </w:rPr>
                      <w:id w:val="134027061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756E3F6C" w14:textId="77777777" w:rsidR="00A521DF" w:rsidRPr="00ED64CA" w:rsidRDefault="008530DA" w:rsidP="00A521DF">
                  <w:pPr>
                    <w:spacing w:before="40" w:after="40"/>
                    <w:jc w:val="center"/>
                    <w:rPr>
                      <w:b/>
                      <w:bCs/>
                      <w:sz w:val="20"/>
                      <w:szCs w:val="20"/>
                    </w:rPr>
                  </w:pPr>
                  <w:sdt>
                    <w:sdtPr>
                      <w:rPr>
                        <w:b/>
                        <w:bCs/>
                        <w:sz w:val="20"/>
                        <w:szCs w:val="20"/>
                      </w:rPr>
                      <w:id w:val="-1060865437"/>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218400E8" w14:textId="77777777" w:rsidR="00A521DF" w:rsidRPr="00ED64CA" w:rsidRDefault="008530DA" w:rsidP="00A521DF">
                  <w:pPr>
                    <w:spacing w:before="40" w:after="40"/>
                    <w:jc w:val="center"/>
                    <w:rPr>
                      <w:b/>
                      <w:bCs/>
                      <w:sz w:val="20"/>
                      <w:szCs w:val="20"/>
                    </w:rPr>
                  </w:pPr>
                  <w:sdt>
                    <w:sdtPr>
                      <w:rPr>
                        <w:b/>
                        <w:bCs/>
                        <w:sz w:val="20"/>
                        <w:szCs w:val="20"/>
                      </w:rPr>
                      <w:id w:val="-1922174068"/>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08FE323C" w14:textId="77777777" w:rsidR="00A521DF" w:rsidRDefault="00A521DF" w:rsidP="003162E6">
            <w:pPr>
              <w:spacing w:before="40" w:after="40"/>
              <w:jc w:val="center"/>
              <w:rPr>
                <w:b/>
                <w:bCs/>
                <w:sz w:val="18"/>
                <w:szCs w:val="18"/>
              </w:rPr>
            </w:pPr>
          </w:p>
          <w:p w14:paraId="3372F5F5" w14:textId="77777777" w:rsidR="00A521DF" w:rsidRDefault="00A521DF" w:rsidP="003162E6">
            <w:pPr>
              <w:spacing w:before="40" w:after="40"/>
              <w:jc w:val="cente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706E2F15" w14:textId="77777777" w:rsidTr="00497913">
              <w:tc>
                <w:tcPr>
                  <w:tcW w:w="652" w:type="dxa"/>
                </w:tcPr>
                <w:p w14:paraId="12F56B4E" w14:textId="77777777" w:rsidR="00A521DF" w:rsidRPr="00ED64CA" w:rsidRDefault="008530DA" w:rsidP="00A521DF">
                  <w:pPr>
                    <w:spacing w:before="40" w:after="40"/>
                    <w:jc w:val="center"/>
                    <w:rPr>
                      <w:b/>
                      <w:bCs/>
                      <w:sz w:val="20"/>
                      <w:szCs w:val="20"/>
                    </w:rPr>
                  </w:pPr>
                  <w:sdt>
                    <w:sdtPr>
                      <w:rPr>
                        <w:b/>
                        <w:bCs/>
                        <w:sz w:val="20"/>
                        <w:szCs w:val="20"/>
                      </w:rPr>
                      <w:id w:val="-1197161363"/>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6C225C6F" w14:textId="77777777" w:rsidR="00A521DF" w:rsidRPr="00ED64CA" w:rsidRDefault="008530DA" w:rsidP="00A521DF">
                  <w:pPr>
                    <w:spacing w:before="40" w:after="40"/>
                    <w:jc w:val="center"/>
                    <w:rPr>
                      <w:b/>
                      <w:bCs/>
                      <w:sz w:val="20"/>
                      <w:szCs w:val="20"/>
                    </w:rPr>
                  </w:pPr>
                  <w:sdt>
                    <w:sdtPr>
                      <w:rPr>
                        <w:b/>
                        <w:bCs/>
                        <w:sz w:val="20"/>
                        <w:szCs w:val="20"/>
                      </w:rPr>
                      <w:id w:val="-51192278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7D410B00" w14:textId="77777777" w:rsidR="00A521DF" w:rsidRPr="00ED64CA" w:rsidRDefault="008530DA" w:rsidP="00A521DF">
                  <w:pPr>
                    <w:spacing w:before="40" w:after="40"/>
                    <w:jc w:val="center"/>
                    <w:rPr>
                      <w:b/>
                      <w:bCs/>
                      <w:sz w:val="20"/>
                      <w:szCs w:val="20"/>
                    </w:rPr>
                  </w:pPr>
                  <w:sdt>
                    <w:sdtPr>
                      <w:rPr>
                        <w:b/>
                        <w:bCs/>
                        <w:sz w:val="20"/>
                        <w:szCs w:val="20"/>
                      </w:rPr>
                      <w:id w:val="-1787415376"/>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435008CB" w14:textId="77777777" w:rsidR="00A521DF" w:rsidRPr="00ED64CA" w:rsidRDefault="008530DA" w:rsidP="00A521DF">
                  <w:pPr>
                    <w:spacing w:before="40" w:after="40"/>
                    <w:jc w:val="center"/>
                    <w:rPr>
                      <w:b/>
                      <w:bCs/>
                      <w:sz w:val="20"/>
                      <w:szCs w:val="20"/>
                    </w:rPr>
                  </w:pPr>
                  <w:sdt>
                    <w:sdtPr>
                      <w:rPr>
                        <w:b/>
                        <w:bCs/>
                        <w:sz w:val="20"/>
                        <w:szCs w:val="20"/>
                      </w:rPr>
                      <w:id w:val="-1995250902"/>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0161D77B" w14:textId="1AD9DFFF" w:rsidR="00A521DF" w:rsidRPr="00A521DF" w:rsidRDefault="00A521DF" w:rsidP="003162E6">
            <w:pPr>
              <w:spacing w:before="40" w:after="40"/>
              <w:jc w:val="center"/>
              <w:rPr>
                <w:b/>
                <w:bCs/>
                <w:sz w:val="18"/>
                <w:szCs w:val="18"/>
              </w:rPr>
            </w:pPr>
          </w:p>
        </w:tc>
      </w:tr>
      <w:tr w:rsidR="000D2E1F" w14:paraId="4379A475" w14:textId="77777777" w:rsidTr="00E010DB">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4960389" w14:textId="592F13EA" w:rsidR="000D2E1F" w:rsidRPr="003B6205" w:rsidRDefault="003760F7" w:rsidP="003162E6">
            <w:pPr>
              <w:spacing w:before="40" w:after="40"/>
              <w:rPr>
                <w:b/>
                <w:sz w:val="20"/>
                <w:szCs w:val="20"/>
                <w:u w:val="single"/>
              </w:rPr>
            </w:pPr>
            <w:r>
              <w:rPr>
                <w:sz w:val="18"/>
                <w:szCs w:val="18"/>
              </w:rPr>
              <w:t>1d</w:t>
            </w:r>
            <w:r w:rsidRPr="003B6205">
              <w:rPr>
                <w:sz w:val="18"/>
                <w:szCs w:val="18"/>
              </w:rPr>
              <w:t xml:space="preserve">.  </w:t>
            </w:r>
            <w:r>
              <w:rPr>
                <w:b/>
                <w:sz w:val="18"/>
                <w:szCs w:val="18"/>
              </w:rPr>
              <w:t>Equity and access in rigorous pathways</w:t>
            </w:r>
            <w:r w:rsidRPr="003B6205">
              <w:rPr>
                <w:b/>
                <w:sz w:val="18"/>
                <w:szCs w:val="18"/>
              </w:rPr>
              <w:t xml:space="preserve">: </w:t>
            </w:r>
            <w:r>
              <w:rPr>
                <w:sz w:val="18"/>
                <w:szCs w:val="18"/>
              </w:rPr>
              <w:t xml:space="preserve">Policy and strategy levers to expand and equalize access to and success in high-quality career pathways for </w:t>
            </w:r>
            <w:r>
              <w:rPr>
                <w:b/>
                <w:sz w:val="18"/>
                <w:szCs w:val="18"/>
                <w:u w:val="single"/>
              </w:rPr>
              <w:t>each</w:t>
            </w:r>
            <w:r>
              <w:rPr>
                <w:sz w:val="18"/>
                <w:szCs w:val="18"/>
              </w:rPr>
              <w:t xml:space="preserve"> student are in place and fully utilized.</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2B1A5D87" w14:textId="77777777" w:rsidR="000D2E1F" w:rsidRPr="00A521DF" w:rsidRDefault="000D2E1F" w:rsidP="003162E6">
            <w:pPr>
              <w:spacing w:before="40" w:after="40"/>
              <w:rPr>
                <w:b/>
                <w:sz w:val="20"/>
                <w:szCs w:val="20"/>
              </w:rPr>
            </w:pPr>
            <w:r w:rsidRPr="00A521DF">
              <w:rPr>
                <w:b/>
                <w:sz w:val="20"/>
                <w:szCs w:val="20"/>
              </w:rPr>
              <w:t>Target outcome 1d: Equity and access in pathways</w:t>
            </w:r>
          </w:p>
          <w:p w14:paraId="2D82C23C" w14:textId="4E112294" w:rsidR="000D2E1F" w:rsidRDefault="000D2E1F" w:rsidP="00A44D7D">
            <w:pPr>
              <w:pStyle w:val="ListParagraph"/>
              <w:numPr>
                <w:ilvl w:val="0"/>
                <w:numId w:val="9"/>
              </w:numPr>
              <w:spacing w:before="40" w:after="40" w:line="276" w:lineRule="auto"/>
              <w:ind w:left="405"/>
              <w:rPr>
                <w:sz w:val="18"/>
                <w:szCs w:val="18"/>
              </w:rPr>
            </w:pPr>
            <w:r>
              <w:rPr>
                <w:sz w:val="18"/>
                <w:szCs w:val="18"/>
              </w:rPr>
              <w:t>State and local policies and strategies are in place to ensure that access to pathways is equitable across student subpopulations by gender, race/ethnicity, poverty, and geographic area.</w:t>
            </w:r>
            <w:r w:rsidR="00A521DF">
              <w:rPr>
                <w:sz w:val="18"/>
                <w:szCs w:val="18"/>
              </w:rPr>
              <w:br/>
            </w:r>
          </w:p>
          <w:p w14:paraId="0C624880" w14:textId="02685B9D" w:rsidR="000D2E1F" w:rsidRDefault="000D2E1F" w:rsidP="00A44D7D">
            <w:pPr>
              <w:pStyle w:val="ListParagraph"/>
              <w:numPr>
                <w:ilvl w:val="0"/>
                <w:numId w:val="9"/>
              </w:numPr>
              <w:spacing w:before="40" w:after="40" w:line="276" w:lineRule="auto"/>
              <w:ind w:left="405"/>
              <w:rPr>
                <w:sz w:val="18"/>
                <w:szCs w:val="18"/>
              </w:rPr>
            </w:pPr>
            <w:r>
              <w:rPr>
                <w:sz w:val="18"/>
                <w:szCs w:val="18"/>
              </w:rPr>
              <w:t>Pathways aligned with priority sectors are offered equally at high-performing and low-performing schools – both comprehensive high schools and technology centers - within the district.</w:t>
            </w:r>
            <w:r w:rsidR="00A521DF">
              <w:rPr>
                <w:sz w:val="18"/>
                <w:szCs w:val="18"/>
              </w:rPr>
              <w:br/>
            </w:r>
          </w:p>
          <w:p w14:paraId="3183FBAA" w14:textId="788F5353" w:rsidR="000D2E1F" w:rsidRDefault="000D2E1F" w:rsidP="00A44D7D">
            <w:pPr>
              <w:pStyle w:val="ListParagraph"/>
              <w:numPr>
                <w:ilvl w:val="0"/>
                <w:numId w:val="9"/>
              </w:numPr>
              <w:spacing w:before="40" w:after="40" w:line="276" w:lineRule="auto"/>
              <w:ind w:left="405"/>
              <w:rPr>
                <w:sz w:val="18"/>
                <w:szCs w:val="18"/>
              </w:rPr>
            </w:pPr>
            <w:r>
              <w:rPr>
                <w:rFonts w:eastAsia="Calibri" w:cs="Calibri"/>
                <w:sz w:val="18"/>
                <w:szCs w:val="18"/>
              </w:rPr>
              <w:t>There is</w:t>
            </w:r>
            <w:r w:rsidRPr="00784F1F">
              <w:rPr>
                <w:rFonts w:eastAsia="Calibri" w:cs="Calibri"/>
                <w:sz w:val="18"/>
                <w:szCs w:val="18"/>
              </w:rPr>
              <w:t xml:space="preserve"> a well-coordinated strategy across the district and postsecondary partners that </w:t>
            </w:r>
            <w:r>
              <w:rPr>
                <w:rFonts w:eastAsia="Calibri" w:cs="Calibri"/>
                <w:sz w:val="18"/>
                <w:szCs w:val="18"/>
              </w:rPr>
              <w:t>enables students to access pathways at any school or institution within the region or community.</w:t>
            </w:r>
            <w:r w:rsidR="00A521DF">
              <w:rPr>
                <w:rFonts w:eastAsia="Calibri" w:cs="Calibri"/>
                <w:sz w:val="18"/>
                <w:szCs w:val="18"/>
              </w:rPr>
              <w:br/>
            </w:r>
          </w:p>
          <w:p w14:paraId="2F5A8632" w14:textId="2D7C8753" w:rsidR="000D2E1F" w:rsidRDefault="000D2E1F" w:rsidP="00A44D7D">
            <w:pPr>
              <w:pStyle w:val="ListParagraph"/>
              <w:numPr>
                <w:ilvl w:val="0"/>
                <w:numId w:val="9"/>
              </w:numPr>
              <w:spacing w:before="40" w:after="40" w:line="276" w:lineRule="auto"/>
              <w:ind w:left="405"/>
              <w:rPr>
                <w:sz w:val="18"/>
                <w:szCs w:val="18"/>
              </w:rPr>
            </w:pPr>
            <w:r>
              <w:rPr>
                <w:sz w:val="18"/>
                <w:szCs w:val="18"/>
              </w:rPr>
              <w:lastRenderedPageBreak/>
              <w:t>Common barriers to pathways enrollment, persistence, and completion – such as transportation and admission criteria – have been identified and removed.</w:t>
            </w:r>
            <w:r w:rsidR="00A521DF">
              <w:rPr>
                <w:sz w:val="18"/>
                <w:szCs w:val="18"/>
              </w:rPr>
              <w:br/>
            </w:r>
          </w:p>
          <w:p w14:paraId="2A12608F" w14:textId="6D5277EA" w:rsidR="000D2E1F" w:rsidRPr="00711227" w:rsidRDefault="000D2E1F" w:rsidP="00711227">
            <w:pPr>
              <w:pStyle w:val="ListParagraph"/>
              <w:numPr>
                <w:ilvl w:val="0"/>
                <w:numId w:val="9"/>
              </w:numPr>
              <w:spacing w:before="40" w:after="40" w:line="276" w:lineRule="auto"/>
              <w:ind w:left="405"/>
              <w:rPr>
                <w:sz w:val="18"/>
                <w:szCs w:val="18"/>
              </w:rPr>
            </w:pPr>
            <w:r>
              <w:rPr>
                <w:sz w:val="18"/>
                <w:szCs w:val="18"/>
              </w:rPr>
              <w:t>A range of effective instructional</w:t>
            </w:r>
            <w:r w:rsidRPr="00EE2E1C">
              <w:rPr>
                <w:sz w:val="18"/>
                <w:szCs w:val="18"/>
              </w:rPr>
              <w:t xml:space="preserve"> delivery m</w:t>
            </w:r>
            <w:r>
              <w:rPr>
                <w:sz w:val="18"/>
                <w:szCs w:val="18"/>
              </w:rPr>
              <w:t>odels – including virtual models -</w:t>
            </w:r>
            <w:r w:rsidRPr="00EE2E1C">
              <w:rPr>
                <w:sz w:val="18"/>
                <w:szCs w:val="18"/>
              </w:rPr>
              <w:t xml:space="preserve"> </w:t>
            </w:r>
            <w:r>
              <w:rPr>
                <w:sz w:val="18"/>
                <w:szCs w:val="18"/>
              </w:rPr>
              <w:t xml:space="preserve">are offered </w:t>
            </w:r>
            <w:r w:rsidRPr="00EE2E1C">
              <w:rPr>
                <w:sz w:val="18"/>
                <w:szCs w:val="18"/>
              </w:rPr>
              <w:t xml:space="preserve">throughout the state so that high-quality, rigorous pathways are widely available to </w:t>
            </w:r>
            <w:r w:rsidRPr="00533DC9">
              <w:rPr>
                <w:bCs/>
                <w:sz w:val="18"/>
                <w:szCs w:val="18"/>
                <w:u w:val="single"/>
              </w:rPr>
              <w:t>each</w:t>
            </w:r>
            <w:r w:rsidRPr="00EE2E1C">
              <w:rPr>
                <w:sz w:val="18"/>
                <w:szCs w:val="18"/>
              </w:rPr>
              <w:t xml:space="preserve"> student in </w:t>
            </w:r>
            <w:r w:rsidRPr="00533DC9">
              <w:rPr>
                <w:bCs/>
                <w:sz w:val="18"/>
                <w:szCs w:val="18"/>
                <w:u w:val="single"/>
              </w:rPr>
              <w:t>all</w:t>
            </w:r>
            <w:r w:rsidRPr="00EE2E1C">
              <w:rPr>
                <w:sz w:val="18"/>
                <w:szCs w:val="18"/>
              </w:rPr>
              <w:t xml:space="preserve"> secondary </w:t>
            </w:r>
            <w:r>
              <w:rPr>
                <w:sz w:val="18"/>
                <w:szCs w:val="18"/>
              </w:rPr>
              <w:t xml:space="preserve">and higher education </w:t>
            </w:r>
            <w:r w:rsidRPr="00EE2E1C">
              <w:rPr>
                <w:sz w:val="18"/>
                <w:szCs w:val="18"/>
              </w:rPr>
              <w:t>settings.</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6EE1A246" w14:textId="77777777" w:rsidR="000D2E1F" w:rsidRDefault="000D2E1F" w:rsidP="003162E6">
            <w:pPr>
              <w:spacing w:before="40" w:after="40"/>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5B995EAC" w14:textId="77777777" w:rsidTr="00497913">
              <w:tc>
                <w:tcPr>
                  <w:tcW w:w="652" w:type="dxa"/>
                </w:tcPr>
                <w:p w14:paraId="33974A50" w14:textId="77777777" w:rsidR="00A521DF" w:rsidRPr="00ED64CA" w:rsidRDefault="008530DA" w:rsidP="00A521DF">
                  <w:pPr>
                    <w:spacing w:before="40" w:after="40"/>
                    <w:jc w:val="center"/>
                    <w:rPr>
                      <w:b/>
                      <w:bCs/>
                      <w:sz w:val="20"/>
                      <w:szCs w:val="20"/>
                    </w:rPr>
                  </w:pPr>
                  <w:sdt>
                    <w:sdtPr>
                      <w:rPr>
                        <w:b/>
                        <w:bCs/>
                        <w:sz w:val="20"/>
                        <w:szCs w:val="20"/>
                      </w:rPr>
                      <w:id w:val="-1036657905"/>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4E0AB275" w14:textId="77777777" w:rsidR="00A521DF" w:rsidRPr="00ED64CA" w:rsidRDefault="008530DA" w:rsidP="00A521DF">
                  <w:pPr>
                    <w:spacing w:before="40" w:after="40"/>
                    <w:jc w:val="center"/>
                    <w:rPr>
                      <w:b/>
                      <w:bCs/>
                      <w:sz w:val="20"/>
                      <w:szCs w:val="20"/>
                    </w:rPr>
                  </w:pPr>
                  <w:sdt>
                    <w:sdtPr>
                      <w:rPr>
                        <w:b/>
                        <w:bCs/>
                        <w:sz w:val="20"/>
                        <w:szCs w:val="20"/>
                      </w:rPr>
                      <w:id w:val="117969774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0B6D12B7" w14:textId="77777777" w:rsidR="00A521DF" w:rsidRPr="00ED64CA" w:rsidRDefault="008530DA" w:rsidP="00A521DF">
                  <w:pPr>
                    <w:spacing w:before="40" w:after="40"/>
                    <w:jc w:val="center"/>
                    <w:rPr>
                      <w:b/>
                      <w:bCs/>
                      <w:sz w:val="20"/>
                      <w:szCs w:val="20"/>
                    </w:rPr>
                  </w:pPr>
                  <w:sdt>
                    <w:sdtPr>
                      <w:rPr>
                        <w:b/>
                        <w:bCs/>
                        <w:sz w:val="20"/>
                        <w:szCs w:val="20"/>
                      </w:rPr>
                      <w:id w:val="-839932785"/>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7273B2A5" w14:textId="77777777" w:rsidR="00A521DF" w:rsidRPr="00ED64CA" w:rsidRDefault="008530DA" w:rsidP="00A521DF">
                  <w:pPr>
                    <w:spacing w:before="40" w:after="40"/>
                    <w:jc w:val="center"/>
                    <w:rPr>
                      <w:b/>
                      <w:bCs/>
                      <w:sz w:val="20"/>
                      <w:szCs w:val="20"/>
                    </w:rPr>
                  </w:pPr>
                  <w:sdt>
                    <w:sdtPr>
                      <w:rPr>
                        <w:b/>
                        <w:bCs/>
                        <w:sz w:val="20"/>
                        <w:szCs w:val="20"/>
                      </w:rPr>
                      <w:id w:val="187534423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7EC00CA5" w14:textId="77777777" w:rsidR="00A521DF" w:rsidRPr="00A521DF" w:rsidRDefault="00A521DF" w:rsidP="003162E6">
            <w:pPr>
              <w:spacing w:before="40" w:after="40"/>
              <w:jc w:val="cente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7A4B6ECD" w14:textId="77777777" w:rsidTr="00497913">
              <w:tc>
                <w:tcPr>
                  <w:tcW w:w="652" w:type="dxa"/>
                </w:tcPr>
                <w:p w14:paraId="43DC44C3" w14:textId="77777777" w:rsidR="00A521DF" w:rsidRPr="00ED64CA" w:rsidRDefault="008530DA" w:rsidP="00A521DF">
                  <w:pPr>
                    <w:spacing w:before="40" w:after="40"/>
                    <w:jc w:val="center"/>
                    <w:rPr>
                      <w:b/>
                      <w:bCs/>
                      <w:sz w:val="20"/>
                      <w:szCs w:val="20"/>
                    </w:rPr>
                  </w:pPr>
                  <w:sdt>
                    <w:sdtPr>
                      <w:rPr>
                        <w:b/>
                        <w:bCs/>
                        <w:sz w:val="20"/>
                        <w:szCs w:val="20"/>
                      </w:rPr>
                      <w:id w:val="1549029657"/>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7446D344" w14:textId="77777777" w:rsidR="00A521DF" w:rsidRPr="00ED64CA" w:rsidRDefault="008530DA" w:rsidP="00A521DF">
                  <w:pPr>
                    <w:spacing w:before="40" w:after="40"/>
                    <w:jc w:val="center"/>
                    <w:rPr>
                      <w:b/>
                      <w:bCs/>
                      <w:sz w:val="20"/>
                      <w:szCs w:val="20"/>
                    </w:rPr>
                  </w:pPr>
                  <w:sdt>
                    <w:sdtPr>
                      <w:rPr>
                        <w:b/>
                        <w:bCs/>
                        <w:sz w:val="20"/>
                        <w:szCs w:val="20"/>
                      </w:rPr>
                      <w:id w:val="-1982539710"/>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5C23BD28" w14:textId="77777777" w:rsidR="00A521DF" w:rsidRPr="00ED64CA" w:rsidRDefault="008530DA" w:rsidP="00A521DF">
                  <w:pPr>
                    <w:spacing w:before="40" w:after="40"/>
                    <w:jc w:val="center"/>
                    <w:rPr>
                      <w:b/>
                      <w:bCs/>
                      <w:sz w:val="20"/>
                      <w:szCs w:val="20"/>
                    </w:rPr>
                  </w:pPr>
                  <w:sdt>
                    <w:sdtPr>
                      <w:rPr>
                        <w:b/>
                        <w:bCs/>
                        <w:sz w:val="20"/>
                        <w:szCs w:val="20"/>
                      </w:rPr>
                      <w:id w:val="-103133658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621C7F45" w14:textId="77777777" w:rsidR="00A521DF" w:rsidRPr="00ED64CA" w:rsidRDefault="008530DA" w:rsidP="00A521DF">
                  <w:pPr>
                    <w:spacing w:before="40" w:after="40"/>
                    <w:jc w:val="center"/>
                    <w:rPr>
                      <w:b/>
                      <w:bCs/>
                      <w:sz w:val="20"/>
                      <w:szCs w:val="20"/>
                    </w:rPr>
                  </w:pPr>
                  <w:sdt>
                    <w:sdtPr>
                      <w:rPr>
                        <w:b/>
                        <w:bCs/>
                        <w:sz w:val="20"/>
                        <w:szCs w:val="20"/>
                      </w:rPr>
                      <w:id w:val="229199673"/>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3EC234DA" w14:textId="77777777" w:rsidR="00A521DF" w:rsidRPr="00A521DF" w:rsidRDefault="00A521DF" w:rsidP="003162E6">
            <w:pPr>
              <w:spacing w:before="40" w:after="40"/>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A521DF" w:rsidRPr="00ED64CA" w14:paraId="7C66EBAB" w14:textId="77777777" w:rsidTr="00497913">
              <w:tc>
                <w:tcPr>
                  <w:tcW w:w="652" w:type="dxa"/>
                </w:tcPr>
                <w:p w14:paraId="343C4142" w14:textId="77777777" w:rsidR="00A521DF" w:rsidRPr="00ED64CA" w:rsidRDefault="008530DA" w:rsidP="00A521DF">
                  <w:pPr>
                    <w:spacing w:before="40" w:after="40"/>
                    <w:jc w:val="center"/>
                    <w:rPr>
                      <w:b/>
                      <w:bCs/>
                      <w:sz w:val="20"/>
                      <w:szCs w:val="20"/>
                    </w:rPr>
                  </w:pPr>
                  <w:sdt>
                    <w:sdtPr>
                      <w:rPr>
                        <w:b/>
                        <w:bCs/>
                        <w:sz w:val="20"/>
                        <w:szCs w:val="20"/>
                      </w:rPr>
                      <w:id w:val="1994678996"/>
                      <w14:checkbox>
                        <w14:checked w14:val="0"/>
                        <w14:checkedState w14:val="2612" w14:font="MS Gothic"/>
                        <w14:uncheckedState w14:val="2610" w14:font="MS Gothic"/>
                      </w14:checkbox>
                    </w:sdtPr>
                    <w:sdtContent>
                      <w:r w:rsidR="00A521DF">
                        <w:rPr>
                          <w:rFonts w:ascii="MS Gothic" w:eastAsia="MS Gothic" w:hAnsi="MS Gothic" w:hint="eastAsia"/>
                          <w:b/>
                          <w:bCs/>
                          <w:sz w:val="20"/>
                          <w:szCs w:val="20"/>
                        </w:rPr>
                        <w:t>☐</w:t>
                      </w:r>
                    </w:sdtContent>
                  </w:sdt>
                  <w:r w:rsidR="00A521DF" w:rsidRPr="00ED64CA">
                    <w:rPr>
                      <w:b/>
                      <w:bCs/>
                      <w:sz w:val="20"/>
                      <w:szCs w:val="20"/>
                    </w:rPr>
                    <w:t>1</w:t>
                  </w:r>
                </w:p>
              </w:tc>
              <w:tc>
                <w:tcPr>
                  <w:tcW w:w="652" w:type="dxa"/>
                </w:tcPr>
                <w:p w14:paraId="06A04FBB" w14:textId="77777777" w:rsidR="00A521DF" w:rsidRPr="00ED64CA" w:rsidRDefault="008530DA" w:rsidP="00A521DF">
                  <w:pPr>
                    <w:spacing w:before="40" w:after="40"/>
                    <w:jc w:val="center"/>
                    <w:rPr>
                      <w:b/>
                      <w:bCs/>
                      <w:sz w:val="20"/>
                      <w:szCs w:val="20"/>
                    </w:rPr>
                  </w:pPr>
                  <w:sdt>
                    <w:sdtPr>
                      <w:rPr>
                        <w:b/>
                        <w:bCs/>
                        <w:sz w:val="20"/>
                        <w:szCs w:val="20"/>
                      </w:rPr>
                      <w:id w:val="-103665991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2</w:t>
                  </w:r>
                </w:p>
              </w:tc>
              <w:tc>
                <w:tcPr>
                  <w:tcW w:w="652" w:type="dxa"/>
                </w:tcPr>
                <w:p w14:paraId="4F1F68BD" w14:textId="77777777" w:rsidR="00A521DF" w:rsidRPr="00ED64CA" w:rsidRDefault="008530DA" w:rsidP="00A521DF">
                  <w:pPr>
                    <w:spacing w:before="40" w:after="40"/>
                    <w:jc w:val="center"/>
                    <w:rPr>
                      <w:b/>
                      <w:bCs/>
                      <w:sz w:val="20"/>
                      <w:szCs w:val="20"/>
                    </w:rPr>
                  </w:pPr>
                  <w:sdt>
                    <w:sdtPr>
                      <w:rPr>
                        <w:b/>
                        <w:bCs/>
                        <w:sz w:val="20"/>
                        <w:szCs w:val="20"/>
                      </w:rPr>
                      <w:id w:val="-1865900431"/>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3</w:t>
                  </w:r>
                </w:p>
              </w:tc>
              <w:tc>
                <w:tcPr>
                  <w:tcW w:w="653" w:type="dxa"/>
                </w:tcPr>
                <w:p w14:paraId="0301F028" w14:textId="77777777" w:rsidR="00A521DF" w:rsidRPr="00ED64CA" w:rsidRDefault="008530DA" w:rsidP="00A521DF">
                  <w:pPr>
                    <w:spacing w:before="40" w:after="40"/>
                    <w:jc w:val="center"/>
                    <w:rPr>
                      <w:b/>
                      <w:bCs/>
                      <w:sz w:val="20"/>
                      <w:szCs w:val="20"/>
                    </w:rPr>
                  </w:pPr>
                  <w:sdt>
                    <w:sdtPr>
                      <w:rPr>
                        <w:b/>
                        <w:bCs/>
                        <w:sz w:val="20"/>
                        <w:szCs w:val="20"/>
                      </w:rPr>
                      <w:id w:val="-940146024"/>
                      <w14:checkbox>
                        <w14:checked w14:val="0"/>
                        <w14:checkedState w14:val="2612" w14:font="MS Gothic"/>
                        <w14:uncheckedState w14:val="2610" w14:font="MS Gothic"/>
                      </w14:checkbox>
                    </w:sdtPr>
                    <w:sdtContent>
                      <w:r w:rsidR="00A521DF" w:rsidRPr="00ED64CA">
                        <w:rPr>
                          <w:rFonts w:ascii="MS Gothic" w:eastAsia="MS Gothic" w:hAnsi="MS Gothic" w:hint="eastAsia"/>
                          <w:b/>
                          <w:bCs/>
                          <w:sz w:val="20"/>
                          <w:szCs w:val="20"/>
                        </w:rPr>
                        <w:t>☐</w:t>
                      </w:r>
                    </w:sdtContent>
                  </w:sdt>
                  <w:r w:rsidR="00A521DF" w:rsidRPr="00ED64CA">
                    <w:rPr>
                      <w:b/>
                      <w:bCs/>
                      <w:sz w:val="20"/>
                      <w:szCs w:val="20"/>
                    </w:rPr>
                    <w:t>4</w:t>
                  </w:r>
                </w:p>
              </w:tc>
            </w:tr>
          </w:tbl>
          <w:p w14:paraId="70F8790C" w14:textId="77777777" w:rsidR="00A521DF" w:rsidRDefault="00A521DF" w:rsidP="0037650B">
            <w:pPr>
              <w:spacing w:before="40" w:after="40"/>
              <w:rPr>
                <w:b/>
                <w:bCs/>
                <w:sz w:val="24"/>
                <w:szCs w:val="24"/>
              </w:rPr>
            </w:pPr>
          </w:p>
          <w:p w14:paraId="0E1F5883" w14:textId="77777777" w:rsidR="0037650B" w:rsidRDefault="0037650B" w:rsidP="0037650B">
            <w:pPr>
              <w:spacing w:before="40" w:after="40"/>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37650B" w:rsidRPr="00ED64CA" w14:paraId="41F92F17" w14:textId="77777777" w:rsidTr="00497913">
              <w:tc>
                <w:tcPr>
                  <w:tcW w:w="652" w:type="dxa"/>
                </w:tcPr>
                <w:p w14:paraId="34993FA3" w14:textId="77777777" w:rsidR="0037650B" w:rsidRPr="00ED64CA" w:rsidRDefault="008530DA" w:rsidP="0037650B">
                  <w:pPr>
                    <w:spacing w:before="40" w:after="40"/>
                    <w:jc w:val="center"/>
                    <w:rPr>
                      <w:b/>
                      <w:bCs/>
                      <w:sz w:val="20"/>
                      <w:szCs w:val="20"/>
                    </w:rPr>
                  </w:pPr>
                  <w:sdt>
                    <w:sdtPr>
                      <w:rPr>
                        <w:b/>
                        <w:bCs/>
                        <w:sz w:val="20"/>
                        <w:szCs w:val="20"/>
                      </w:rPr>
                      <w:id w:val="-953856691"/>
                      <w14:checkbox>
                        <w14:checked w14:val="0"/>
                        <w14:checkedState w14:val="2612" w14:font="MS Gothic"/>
                        <w14:uncheckedState w14:val="2610" w14:font="MS Gothic"/>
                      </w14:checkbox>
                    </w:sdtPr>
                    <w:sdtContent>
                      <w:r w:rsidR="0037650B">
                        <w:rPr>
                          <w:rFonts w:ascii="MS Gothic" w:eastAsia="MS Gothic" w:hAnsi="MS Gothic" w:hint="eastAsia"/>
                          <w:b/>
                          <w:bCs/>
                          <w:sz w:val="20"/>
                          <w:szCs w:val="20"/>
                        </w:rPr>
                        <w:t>☐</w:t>
                      </w:r>
                    </w:sdtContent>
                  </w:sdt>
                  <w:r w:rsidR="0037650B" w:rsidRPr="00ED64CA">
                    <w:rPr>
                      <w:b/>
                      <w:bCs/>
                      <w:sz w:val="20"/>
                      <w:szCs w:val="20"/>
                    </w:rPr>
                    <w:t>1</w:t>
                  </w:r>
                </w:p>
              </w:tc>
              <w:tc>
                <w:tcPr>
                  <w:tcW w:w="652" w:type="dxa"/>
                </w:tcPr>
                <w:p w14:paraId="762B24A8" w14:textId="77777777" w:rsidR="0037650B" w:rsidRPr="00ED64CA" w:rsidRDefault="008530DA" w:rsidP="0037650B">
                  <w:pPr>
                    <w:spacing w:before="40" w:after="40"/>
                    <w:jc w:val="center"/>
                    <w:rPr>
                      <w:b/>
                      <w:bCs/>
                      <w:sz w:val="20"/>
                      <w:szCs w:val="20"/>
                    </w:rPr>
                  </w:pPr>
                  <w:sdt>
                    <w:sdtPr>
                      <w:rPr>
                        <w:b/>
                        <w:bCs/>
                        <w:sz w:val="20"/>
                        <w:szCs w:val="20"/>
                      </w:rPr>
                      <w:id w:val="-688053200"/>
                      <w14:checkbox>
                        <w14:checked w14:val="0"/>
                        <w14:checkedState w14:val="2612" w14:font="MS Gothic"/>
                        <w14:uncheckedState w14:val="2610" w14:font="MS Gothic"/>
                      </w14:checkbox>
                    </w:sdtPr>
                    <w:sdtContent>
                      <w:r w:rsidR="0037650B" w:rsidRPr="00ED64CA">
                        <w:rPr>
                          <w:rFonts w:ascii="MS Gothic" w:eastAsia="MS Gothic" w:hAnsi="MS Gothic" w:hint="eastAsia"/>
                          <w:b/>
                          <w:bCs/>
                          <w:sz w:val="20"/>
                          <w:szCs w:val="20"/>
                        </w:rPr>
                        <w:t>☐</w:t>
                      </w:r>
                    </w:sdtContent>
                  </w:sdt>
                  <w:r w:rsidR="0037650B" w:rsidRPr="00ED64CA">
                    <w:rPr>
                      <w:b/>
                      <w:bCs/>
                      <w:sz w:val="20"/>
                      <w:szCs w:val="20"/>
                    </w:rPr>
                    <w:t>2</w:t>
                  </w:r>
                </w:p>
              </w:tc>
              <w:tc>
                <w:tcPr>
                  <w:tcW w:w="652" w:type="dxa"/>
                </w:tcPr>
                <w:p w14:paraId="702A3611" w14:textId="77777777" w:rsidR="0037650B" w:rsidRPr="00ED64CA" w:rsidRDefault="008530DA" w:rsidP="0037650B">
                  <w:pPr>
                    <w:spacing w:before="40" w:after="40"/>
                    <w:jc w:val="center"/>
                    <w:rPr>
                      <w:b/>
                      <w:bCs/>
                      <w:sz w:val="20"/>
                      <w:szCs w:val="20"/>
                    </w:rPr>
                  </w:pPr>
                  <w:sdt>
                    <w:sdtPr>
                      <w:rPr>
                        <w:b/>
                        <w:bCs/>
                        <w:sz w:val="20"/>
                        <w:szCs w:val="20"/>
                      </w:rPr>
                      <w:id w:val="-2128151241"/>
                      <w14:checkbox>
                        <w14:checked w14:val="0"/>
                        <w14:checkedState w14:val="2612" w14:font="MS Gothic"/>
                        <w14:uncheckedState w14:val="2610" w14:font="MS Gothic"/>
                      </w14:checkbox>
                    </w:sdtPr>
                    <w:sdtContent>
                      <w:r w:rsidR="0037650B" w:rsidRPr="00ED64CA">
                        <w:rPr>
                          <w:rFonts w:ascii="MS Gothic" w:eastAsia="MS Gothic" w:hAnsi="MS Gothic" w:hint="eastAsia"/>
                          <w:b/>
                          <w:bCs/>
                          <w:sz w:val="20"/>
                          <w:szCs w:val="20"/>
                        </w:rPr>
                        <w:t>☐</w:t>
                      </w:r>
                    </w:sdtContent>
                  </w:sdt>
                  <w:r w:rsidR="0037650B" w:rsidRPr="00ED64CA">
                    <w:rPr>
                      <w:b/>
                      <w:bCs/>
                      <w:sz w:val="20"/>
                      <w:szCs w:val="20"/>
                    </w:rPr>
                    <w:t>3</w:t>
                  </w:r>
                </w:p>
              </w:tc>
              <w:tc>
                <w:tcPr>
                  <w:tcW w:w="653" w:type="dxa"/>
                </w:tcPr>
                <w:p w14:paraId="1E691FE4" w14:textId="77777777" w:rsidR="0037650B" w:rsidRPr="00ED64CA" w:rsidRDefault="008530DA" w:rsidP="0037650B">
                  <w:pPr>
                    <w:spacing w:before="40" w:after="40"/>
                    <w:jc w:val="center"/>
                    <w:rPr>
                      <w:b/>
                      <w:bCs/>
                      <w:sz w:val="20"/>
                      <w:szCs w:val="20"/>
                    </w:rPr>
                  </w:pPr>
                  <w:sdt>
                    <w:sdtPr>
                      <w:rPr>
                        <w:b/>
                        <w:bCs/>
                        <w:sz w:val="20"/>
                        <w:szCs w:val="20"/>
                      </w:rPr>
                      <w:id w:val="-1984843468"/>
                      <w14:checkbox>
                        <w14:checked w14:val="0"/>
                        <w14:checkedState w14:val="2612" w14:font="MS Gothic"/>
                        <w14:uncheckedState w14:val="2610" w14:font="MS Gothic"/>
                      </w14:checkbox>
                    </w:sdtPr>
                    <w:sdtContent>
                      <w:r w:rsidR="0037650B" w:rsidRPr="00ED64CA">
                        <w:rPr>
                          <w:rFonts w:ascii="MS Gothic" w:eastAsia="MS Gothic" w:hAnsi="MS Gothic" w:hint="eastAsia"/>
                          <w:b/>
                          <w:bCs/>
                          <w:sz w:val="20"/>
                          <w:szCs w:val="20"/>
                        </w:rPr>
                        <w:t>☐</w:t>
                      </w:r>
                    </w:sdtContent>
                  </w:sdt>
                  <w:r w:rsidR="0037650B" w:rsidRPr="00ED64CA">
                    <w:rPr>
                      <w:b/>
                      <w:bCs/>
                      <w:sz w:val="20"/>
                      <w:szCs w:val="20"/>
                    </w:rPr>
                    <w:t>4</w:t>
                  </w:r>
                </w:p>
              </w:tc>
            </w:tr>
          </w:tbl>
          <w:p w14:paraId="31D46500" w14:textId="3C33776F" w:rsidR="0037650B" w:rsidRDefault="0037650B" w:rsidP="0037650B">
            <w:pPr>
              <w:spacing w:before="40" w:after="40"/>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37650B" w:rsidRPr="00ED64CA" w14:paraId="40EB69DC" w14:textId="77777777" w:rsidTr="00497913">
              <w:tc>
                <w:tcPr>
                  <w:tcW w:w="652" w:type="dxa"/>
                </w:tcPr>
                <w:p w14:paraId="72464580" w14:textId="77777777" w:rsidR="0037650B" w:rsidRPr="00ED64CA" w:rsidRDefault="008530DA" w:rsidP="0037650B">
                  <w:pPr>
                    <w:spacing w:before="40" w:after="40"/>
                    <w:jc w:val="center"/>
                    <w:rPr>
                      <w:b/>
                      <w:bCs/>
                      <w:sz w:val="20"/>
                      <w:szCs w:val="20"/>
                    </w:rPr>
                  </w:pPr>
                  <w:sdt>
                    <w:sdtPr>
                      <w:rPr>
                        <w:b/>
                        <w:bCs/>
                        <w:sz w:val="20"/>
                        <w:szCs w:val="20"/>
                      </w:rPr>
                      <w:id w:val="-1074665140"/>
                      <w14:checkbox>
                        <w14:checked w14:val="0"/>
                        <w14:checkedState w14:val="2612" w14:font="MS Gothic"/>
                        <w14:uncheckedState w14:val="2610" w14:font="MS Gothic"/>
                      </w14:checkbox>
                    </w:sdtPr>
                    <w:sdtContent>
                      <w:r w:rsidR="0037650B">
                        <w:rPr>
                          <w:rFonts w:ascii="MS Gothic" w:eastAsia="MS Gothic" w:hAnsi="MS Gothic" w:hint="eastAsia"/>
                          <w:b/>
                          <w:bCs/>
                          <w:sz w:val="20"/>
                          <w:szCs w:val="20"/>
                        </w:rPr>
                        <w:t>☐</w:t>
                      </w:r>
                    </w:sdtContent>
                  </w:sdt>
                  <w:r w:rsidR="0037650B" w:rsidRPr="00ED64CA">
                    <w:rPr>
                      <w:b/>
                      <w:bCs/>
                      <w:sz w:val="20"/>
                      <w:szCs w:val="20"/>
                    </w:rPr>
                    <w:t>1</w:t>
                  </w:r>
                </w:p>
              </w:tc>
              <w:tc>
                <w:tcPr>
                  <w:tcW w:w="652" w:type="dxa"/>
                </w:tcPr>
                <w:p w14:paraId="0CE54420" w14:textId="77777777" w:rsidR="0037650B" w:rsidRPr="00ED64CA" w:rsidRDefault="008530DA" w:rsidP="0037650B">
                  <w:pPr>
                    <w:spacing w:before="40" w:after="40"/>
                    <w:jc w:val="center"/>
                    <w:rPr>
                      <w:b/>
                      <w:bCs/>
                      <w:sz w:val="20"/>
                      <w:szCs w:val="20"/>
                    </w:rPr>
                  </w:pPr>
                  <w:sdt>
                    <w:sdtPr>
                      <w:rPr>
                        <w:b/>
                        <w:bCs/>
                        <w:sz w:val="20"/>
                        <w:szCs w:val="20"/>
                      </w:rPr>
                      <w:id w:val="2044088683"/>
                      <w14:checkbox>
                        <w14:checked w14:val="0"/>
                        <w14:checkedState w14:val="2612" w14:font="MS Gothic"/>
                        <w14:uncheckedState w14:val="2610" w14:font="MS Gothic"/>
                      </w14:checkbox>
                    </w:sdtPr>
                    <w:sdtContent>
                      <w:r w:rsidR="0037650B" w:rsidRPr="00ED64CA">
                        <w:rPr>
                          <w:rFonts w:ascii="MS Gothic" w:eastAsia="MS Gothic" w:hAnsi="MS Gothic" w:hint="eastAsia"/>
                          <w:b/>
                          <w:bCs/>
                          <w:sz w:val="20"/>
                          <w:szCs w:val="20"/>
                        </w:rPr>
                        <w:t>☐</w:t>
                      </w:r>
                    </w:sdtContent>
                  </w:sdt>
                  <w:r w:rsidR="0037650B" w:rsidRPr="00ED64CA">
                    <w:rPr>
                      <w:b/>
                      <w:bCs/>
                      <w:sz w:val="20"/>
                      <w:szCs w:val="20"/>
                    </w:rPr>
                    <w:t>2</w:t>
                  </w:r>
                </w:p>
              </w:tc>
              <w:tc>
                <w:tcPr>
                  <w:tcW w:w="652" w:type="dxa"/>
                </w:tcPr>
                <w:p w14:paraId="52734695" w14:textId="77777777" w:rsidR="0037650B" w:rsidRPr="00ED64CA" w:rsidRDefault="008530DA" w:rsidP="0037650B">
                  <w:pPr>
                    <w:spacing w:before="40" w:after="40"/>
                    <w:jc w:val="center"/>
                    <w:rPr>
                      <w:b/>
                      <w:bCs/>
                      <w:sz w:val="20"/>
                      <w:szCs w:val="20"/>
                    </w:rPr>
                  </w:pPr>
                  <w:sdt>
                    <w:sdtPr>
                      <w:rPr>
                        <w:b/>
                        <w:bCs/>
                        <w:sz w:val="20"/>
                        <w:szCs w:val="20"/>
                      </w:rPr>
                      <w:id w:val="-1162004659"/>
                      <w14:checkbox>
                        <w14:checked w14:val="0"/>
                        <w14:checkedState w14:val="2612" w14:font="MS Gothic"/>
                        <w14:uncheckedState w14:val="2610" w14:font="MS Gothic"/>
                      </w14:checkbox>
                    </w:sdtPr>
                    <w:sdtContent>
                      <w:r w:rsidR="0037650B" w:rsidRPr="00ED64CA">
                        <w:rPr>
                          <w:rFonts w:ascii="MS Gothic" w:eastAsia="MS Gothic" w:hAnsi="MS Gothic" w:hint="eastAsia"/>
                          <w:b/>
                          <w:bCs/>
                          <w:sz w:val="20"/>
                          <w:szCs w:val="20"/>
                        </w:rPr>
                        <w:t>☐</w:t>
                      </w:r>
                    </w:sdtContent>
                  </w:sdt>
                  <w:r w:rsidR="0037650B" w:rsidRPr="00ED64CA">
                    <w:rPr>
                      <w:b/>
                      <w:bCs/>
                      <w:sz w:val="20"/>
                      <w:szCs w:val="20"/>
                    </w:rPr>
                    <w:t>3</w:t>
                  </w:r>
                </w:p>
              </w:tc>
              <w:tc>
                <w:tcPr>
                  <w:tcW w:w="653" w:type="dxa"/>
                </w:tcPr>
                <w:p w14:paraId="2B679C7E" w14:textId="77777777" w:rsidR="0037650B" w:rsidRPr="00ED64CA" w:rsidRDefault="008530DA" w:rsidP="0037650B">
                  <w:pPr>
                    <w:spacing w:before="40" w:after="40"/>
                    <w:jc w:val="center"/>
                    <w:rPr>
                      <w:b/>
                      <w:bCs/>
                      <w:sz w:val="20"/>
                      <w:szCs w:val="20"/>
                    </w:rPr>
                  </w:pPr>
                  <w:sdt>
                    <w:sdtPr>
                      <w:rPr>
                        <w:b/>
                        <w:bCs/>
                        <w:sz w:val="20"/>
                        <w:szCs w:val="20"/>
                      </w:rPr>
                      <w:id w:val="-558253141"/>
                      <w14:checkbox>
                        <w14:checked w14:val="0"/>
                        <w14:checkedState w14:val="2612" w14:font="MS Gothic"/>
                        <w14:uncheckedState w14:val="2610" w14:font="MS Gothic"/>
                      </w14:checkbox>
                    </w:sdtPr>
                    <w:sdtContent>
                      <w:r w:rsidR="0037650B" w:rsidRPr="00ED64CA">
                        <w:rPr>
                          <w:rFonts w:ascii="MS Gothic" w:eastAsia="MS Gothic" w:hAnsi="MS Gothic" w:hint="eastAsia"/>
                          <w:b/>
                          <w:bCs/>
                          <w:sz w:val="20"/>
                          <w:szCs w:val="20"/>
                        </w:rPr>
                        <w:t>☐</w:t>
                      </w:r>
                    </w:sdtContent>
                  </w:sdt>
                  <w:r w:rsidR="0037650B" w:rsidRPr="00ED64CA">
                    <w:rPr>
                      <w:b/>
                      <w:bCs/>
                      <w:sz w:val="20"/>
                      <w:szCs w:val="20"/>
                    </w:rPr>
                    <w:t>4</w:t>
                  </w:r>
                </w:p>
              </w:tc>
            </w:tr>
            <w:tr w:rsidR="0037650B" w:rsidRPr="00ED64CA" w14:paraId="335A1BBF" w14:textId="77777777" w:rsidTr="00497913">
              <w:tc>
                <w:tcPr>
                  <w:tcW w:w="652" w:type="dxa"/>
                </w:tcPr>
                <w:p w14:paraId="2B948D26" w14:textId="708106F4" w:rsidR="0037650B" w:rsidRPr="00ED64CA" w:rsidRDefault="0037650B" w:rsidP="00711227">
                  <w:pPr>
                    <w:spacing w:before="40" w:after="40"/>
                    <w:rPr>
                      <w:b/>
                      <w:bCs/>
                      <w:sz w:val="20"/>
                      <w:szCs w:val="20"/>
                    </w:rPr>
                  </w:pPr>
                </w:p>
              </w:tc>
              <w:tc>
                <w:tcPr>
                  <w:tcW w:w="652" w:type="dxa"/>
                </w:tcPr>
                <w:p w14:paraId="7CF7B940" w14:textId="43756A9D" w:rsidR="0037650B" w:rsidRPr="00ED64CA" w:rsidRDefault="0037650B" w:rsidP="0037650B">
                  <w:pPr>
                    <w:spacing w:before="40" w:after="40"/>
                    <w:jc w:val="center"/>
                    <w:rPr>
                      <w:b/>
                      <w:bCs/>
                      <w:sz w:val="20"/>
                      <w:szCs w:val="20"/>
                    </w:rPr>
                  </w:pPr>
                </w:p>
              </w:tc>
              <w:tc>
                <w:tcPr>
                  <w:tcW w:w="652" w:type="dxa"/>
                </w:tcPr>
                <w:p w14:paraId="468AD345" w14:textId="6B43789D" w:rsidR="0037650B" w:rsidRPr="00ED64CA" w:rsidRDefault="0037650B" w:rsidP="0037650B">
                  <w:pPr>
                    <w:spacing w:before="40" w:after="40"/>
                    <w:jc w:val="center"/>
                    <w:rPr>
                      <w:b/>
                      <w:bCs/>
                      <w:sz w:val="20"/>
                      <w:szCs w:val="20"/>
                    </w:rPr>
                  </w:pPr>
                </w:p>
              </w:tc>
              <w:tc>
                <w:tcPr>
                  <w:tcW w:w="653" w:type="dxa"/>
                </w:tcPr>
                <w:p w14:paraId="56D7E431" w14:textId="7EE9D421" w:rsidR="0037650B" w:rsidRPr="00ED64CA" w:rsidRDefault="0037650B" w:rsidP="0037650B">
                  <w:pPr>
                    <w:spacing w:before="40" w:after="40"/>
                    <w:jc w:val="center"/>
                    <w:rPr>
                      <w:b/>
                      <w:bCs/>
                      <w:sz w:val="20"/>
                      <w:szCs w:val="20"/>
                    </w:rPr>
                  </w:pPr>
                </w:p>
              </w:tc>
            </w:tr>
            <w:tr w:rsidR="0037650B" w:rsidRPr="00ED64CA" w14:paraId="4BEB924E" w14:textId="77777777" w:rsidTr="00497913">
              <w:tc>
                <w:tcPr>
                  <w:tcW w:w="652" w:type="dxa"/>
                </w:tcPr>
                <w:p w14:paraId="6BA86E43" w14:textId="577E4254" w:rsidR="0037650B" w:rsidRPr="00ED64CA" w:rsidRDefault="0037650B" w:rsidP="00711227">
                  <w:pPr>
                    <w:spacing w:before="40" w:after="40"/>
                    <w:rPr>
                      <w:b/>
                      <w:bCs/>
                      <w:sz w:val="20"/>
                      <w:szCs w:val="20"/>
                    </w:rPr>
                  </w:pPr>
                </w:p>
              </w:tc>
              <w:tc>
                <w:tcPr>
                  <w:tcW w:w="652" w:type="dxa"/>
                </w:tcPr>
                <w:p w14:paraId="379AE63F" w14:textId="7C410381" w:rsidR="0037650B" w:rsidRPr="00ED64CA" w:rsidRDefault="0037650B" w:rsidP="0037650B">
                  <w:pPr>
                    <w:spacing w:before="40" w:after="40"/>
                    <w:jc w:val="center"/>
                    <w:rPr>
                      <w:b/>
                      <w:bCs/>
                      <w:sz w:val="20"/>
                      <w:szCs w:val="20"/>
                    </w:rPr>
                  </w:pPr>
                </w:p>
              </w:tc>
              <w:tc>
                <w:tcPr>
                  <w:tcW w:w="652" w:type="dxa"/>
                </w:tcPr>
                <w:p w14:paraId="4C7FBF1A" w14:textId="408995A9" w:rsidR="0037650B" w:rsidRPr="00ED64CA" w:rsidRDefault="0037650B" w:rsidP="0037650B">
                  <w:pPr>
                    <w:spacing w:before="40" w:after="40"/>
                    <w:jc w:val="center"/>
                    <w:rPr>
                      <w:b/>
                      <w:bCs/>
                      <w:sz w:val="20"/>
                      <w:szCs w:val="20"/>
                    </w:rPr>
                  </w:pPr>
                </w:p>
              </w:tc>
              <w:tc>
                <w:tcPr>
                  <w:tcW w:w="653" w:type="dxa"/>
                </w:tcPr>
                <w:p w14:paraId="5BD31578" w14:textId="2272DE35" w:rsidR="0037650B" w:rsidRPr="00ED64CA" w:rsidRDefault="0037650B" w:rsidP="0037650B">
                  <w:pPr>
                    <w:spacing w:before="40" w:after="40"/>
                    <w:jc w:val="center"/>
                    <w:rPr>
                      <w:b/>
                      <w:bCs/>
                      <w:sz w:val="20"/>
                      <w:szCs w:val="20"/>
                    </w:rPr>
                  </w:pPr>
                </w:p>
              </w:tc>
            </w:tr>
          </w:tbl>
          <w:p w14:paraId="1E0F13DC" w14:textId="0F906737" w:rsidR="0037650B" w:rsidRPr="00A521DF" w:rsidRDefault="0037650B" w:rsidP="0037650B">
            <w:pPr>
              <w:spacing w:before="40" w:after="40"/>
              <w:rPr>
                <w:b/>
                <w:bCs/>
                <w:sz w:val="24"/>
                <w:szCs w:val="24"/>
              </w:rPr>
            </w:pPr>
          </w:p>
        </w:tc>
      </w:tr>
      <w:tr w:rsidR="00342439" w14:paraId="236D1BC5" w14:textId="77777777" w:rsidTr="00D10AC0">
        <w:tblPrEx>
          <w:tblBorders>
            <w:top w:val="single" w:sz="8" w:space="0" w:color="auto"/>
            <w:left w:val="single" w:sz="8" w:space="0" w:color="auto"/>
            <w:bottom w:val="single" w:sz="8" w:space="0" w:color="auto"/>
            <w:insideH w:val="single" w:sz="8" w:space="0" w:color="auto"/>
            <w:insideV w:val="single" w:sz="8" w:space="0" w:color="auto"/>
          </w:tblBorders>
        </w:tblPrEx>
        <w:tc>
          <w:tcPr>
            <w:tcW w:w="4896" w:type="dxa"/>
            <w:gridSpan w:val="4"/>
            <w:tcBorders>
              <w:right w:val="single" w:sz="8" w:space="0" w:color="auto"/>
            </w:tcBorders>
            <w:shd w:val="clear" w:color="auto" w:fill="FFFAEF"/>
          </w:tcPr>
          <w:p w14:paraId="761A9AD8" w14:textId="7F10CE5A" w:rsidR="00342439" w:rsidRDefault="000E730C" w:rsidP="00342439">
            <w:pPr>
              <w:spacing w:before="40" w:after="40"/>
              <w:jc w:val="center"/>
              <w:rPr>
                <w:bCs/>
                <w:sz w:val="20"/>
                <w:szCs w:val="20"/>
              </w:rPr>
            </w:pPr>
            <w:r>
              <w:rPr>
                <w:b/>
                <w:sz w:val="20"/>
                <w:szCs w:val="20"/>
                <w:u w:val="single"/>
              </w:rPr>
              <w:lastRenderedPageBreak/>
              <w:t xml:space="preserve">Greatest Strengths for </w:t>
            </w:r>
            <w:r w:rsidR="00403538">
              <w:rPr>
                <w:b/>
                <w:sz w:val="20"/>
                <w:szCs w:val="20"/>
                <w:u w:val="single"/>
              </w:rPr>
              <w:t>Career Pathways</w:t>
            </w:r>
          </w:p>
          <w:p w14:paraId="6B9E8D49" w14:textId="77777777" w:rsidR="0074168B" w:rsidRPr="0074168B" w:rsidRDefault="0074168B" w:rsidP="00342439">
            <w:pPr>
              <w:spacing w:before="40" w:after="40"/>
              <w:jc w:val="center"/>
              <w:rPr>
                <w:bCs/>
                <w:sz w:val="20"/>
                <w:szCs w:val="20"/>
              </w:rPr>
            </w:pPr>
          </w:p>
          <w:p w14:paraId="75B34415" w14:textId="77777777" w:rsidR="00342439" w:rsidRPr="0074168B" w:rsidRDefault="00342439" w:rsidP="00342439">
            <w:pPr>
              <w:spacing w:before="40" w:after="40"/>
              <w:rPr>
                <w:sz w:val="20"/>
                <w:szCs w:val="20"/>
              </w:rPr>
            </w:pPr>
          </w:p>
          <w:p w14:paraId="7947BDF4" w14:textId="77777777" w:rsidR="00342439" w:rsidRPr="0074168B" w:rsidRDefault="00342439" w:rsidP="00342439">
            <w:pPr>
              <w:spacing w:before="40" w:after="40"/>
              <w:rPr>
                <w:sz w:val="20"/>
                <w:szCs w:val="20"/>
              </w:rPr>
            </w:pPr>
          </w:p>
          <w:p w14:paraId="504F423C" w14:textId="77777777" w:rsidR="00342439" w:rsidRPr="0074168B" w:rsidRDefault="00342439" w:rsidP="00342439">
            <w:pPr>
              <w:spacing w:before="40" w:after="40"/>
              <w:rPr>
                <w:sz w:val="20"/>
                <w:szCs w:val="20"/>
              </w:rPr>
            </w:pPr>
          </w:p>
          <w:p w14:paraId="0BACD6BC" w14:textId="77777777" w:rsidR="00342439" w:rsidRPr="0074168B" w:rsidRDefault="00342439" w:rsidP="00342439">
            <w:pPr>
              <w:spacing w:before="40" w:after="40"/>
              <w:rPr>
                <w:sz w:val="20"/>
                <w:szCs w:val="20"/>
              </w:rPr>
            </w:pPr>
          </w:p>
          <w:p w14:paraId="00B6A319" w14:textId="77777777" w:rsidR="00342439" w:rsidRPr="0074168B" w:rsidRDefault="00342439" w:rsidP="00342439">
            <w:pPr>
              <w:spacing w:before="40" w:after="40"/>
              <w:rPr>
                <w:sz w:val="20"/>
                <w:szCs w:val="20"/>
              </w:rPr>
            </w:pPr>
          </w:p>
          <w:p w14:paraId="799B9D6B" w14:textId="77777777" w:rsidR="00342439" w:rsidRPr="0074168B" w:rsidRDefault="00342439" w:rsidP="00342439">
            <w:pPr>
              <w:spacing w:before="40" w:after="40"/>
              <w:rPr>
                <w:sz w:val="20"/>
                <w:szCs w:val="20"/>
              </w:rPr>
            </w:pPr>
          </w:p>
          <w:p w14:paraId="61F2F992" w14:textId="77777777" w:rsidR="00342439" w:rsidRPr="0074168B" w:rsidRDefault="00342439" w:rsidP="00342439">
            <w:pPr>
              <w:spacing w:before="40" w:after="40"/>
              <w:rPr>
                <w:sz w:val="20"/>
                <w:szCs w:val="20"/>
              </w:rPr>
            </w:pPr>
          </w:p>
          <w:p w14:paraId="3F33456C" w14:textId="77777777" w:rsidR="00342439" w:rsidRDefault="00342439" w:rsidP="00342439">
            <w:pPr>
              <w:spacing w:before="40" w:after="40"/>
              <w:rPr>
                <w:sz w:val="20"/>
                <w:szCs w:val="20"/>
              </w:rPr>
            </w:pPr>
          </w:p>
          <w:p w14:paraId="3826FC72" w14:textId="77777777" w:rsidR="0074168B" w:rsidRDefault="0074168B" w:rsidP="00342439">
            <w:pPr>
              <w:spacing w:before="40" w:after="40"/>
              <w:rPr>
                <w:sz w:val="20"/>
                <w:szCs w:val="20"/>
              </w:rPr>
            </w:pPr>
          </w:p>
          <w:p w14:paraId="4868E62C" w14:textId="77777777" w:rsidR="0074168B" w:rsidRDefault="0074168B" w:rsidP="00342439">
            <w:pPr>
              <w:spacing w:before="40" w:after="40"/>
              <w:rPr>
                <w:sz w:val="20"/>
                <w:szCs w:val="20"/>
              </w:rPr>
            </w:pPr>
          </w:p>
          <w:p w14:paraId="3D494F80" w14:textId="77777777" w:rsidR="0074168B" w:rsidRDefault="0074168B" w:rsidP="00342439">
            <w:pPr>
              <w:spacing w:before="40" w:after="40"/>
              <w:rPr>
                <w:sz w:val="20"/>
                <w:szCs w:val="20"/>
              </w:rPr>
            </w:pPr>
          </w:p>
          <w:p w14:paraId="6727BAC2" w14:textId="77777777" w:rsidR="0074168B" w:rsidRDefault="0074168B" w:rsidP="00342439">
            <w:pPr>
              <w:spacing w:before="40" w:after="40"/>
              <w:rPr>
                <w:sz w:val="20"/>
                <w:szCs w:val="20"/>
              </w:rPr>
            </w:pPr>
          </w:p>
          <w:p w14:paraId="4B6E74A2" w14:textId="77777777" w:rsidR="0074168B" w:rsidRDefault="0074168B" w:rsidP="00342439">
            <w:pPr>
              <w:spacing w:before="40" w:after="40"/>
              <w:rPr>
                <w:sz w:val="20"/>
                <w:szCs w:val="20"/>
              </w:rPr>
            </w:pPr>
          </w:p>
          <w:p w14:paraId="498DA552" w14:textId="77777777" w:rsidR="0074168B" w:rsidRDefault="0074168B" w:rsidP="00342439">
            <w:pPr>
              <w:spacing w:before="40" w:after="40"/>
              <w:rPr>
                <w:sz w:val="20"/>
                <w:szCs w:val="20"/>
              </w:rPr>
            </w:pPr>
          </w:p>
          <w:p w14:paraId="1CBF7351" w14:textId="77777777" w:rsidR="0074168B" w:rsidRDefault="0074168B" w:rsidP="00342439">
            <w:pPr>
              <w:spacing w:before="40" w:after="40"/>
              <w:rPr>
                <w:sz w:val="20"/>
                <w:szCs w:val="20"/>
              </w:rPr>
            </w:pPr>
          </w:p>
          <w:p w14:paraId="5DC94F34" w14:textId="77777777" w:rsidR="0074168B" w:rsidRDefault="0074168B" w:rsidP="00342439">
            <w:pPr>
              <w:spacing w:before="40" w:after="40"/>
              <w:rPr>
                <w:sz w:val="20"/>
                <w:szCs w:val="20"/>
              </w:rPr>
            </w:pPr>
          </w:p>
          <w:p w14:paraId="38EEC9BD" w14:textId="77777777" w:rsidR="0074168B" w:rsidRDefault="0074168B" w:rsidP="00342439">
            <w:pPr>
              <w:spacing w:before="40" w:after="40"/>
              <w:rPr>
                <w:sz w:val="20"/>
                <w:szCs w:val="20"/>
              </w:rPr>
            </w:pPr>
          </w:p>
          <w:p w14:paraId="0ABD0A55" w14:textId="77777777" w:rsidR="0074168B" w:rsidRDefault="0074168B" w:rsidP="00342439">
            <w:pPr>
              <w:spacing w:before="40" w:after="40"/>
              <w:rPr>
                <w:sz w:val="20"/>
                <w:szCs w:val="20"/>
              </w:rPr>
            </w:pPr>
          </w:p>
          <w:p w14:paraId="415D4A67" w14:textId="3BBE3326" w:rsidR="0074168B" w:rsidRPr="0074168B" w:rsidRDefault="0074168B" w:rsidP="00342439">
            <w:pPr>
              <w:spacing w:before="40" w:after="40"/>
              <w:rPr>
                <w:sz w:val="20"/>
                <w:szCs w:val="20"/>
              </w:rPr>
            </w:pPr>
          </w:p>
        </w:tc>
        <w:tc>
          <w:tcPr>
            <w:tcW w:w="4896" w:type="dxa"/>
            <w:gridSpan w:val="3"/>
            <w:tcBorders>
              <w:right w:val="single" w:sz="8" w:space="0" w:color="auto"/>
            </w:tcBorders>
            <w:shd w:val="clear" w:color="auto" w:fill="FFFAEF"/>
          </w:tcPr>
          <w:p w14:paraId="32FC2EA1" w14:textId="3E700AE5" w:rsidR="00342439" w:rsidRPr="0074168B" w:rsidRDefault="00342439" w:rsidP="00342439">
            <w:pPr>
              <w:spacing w:before="40" w:after="40"/>
              <w:jc w:val="center"/>
              <w:rPr>
                <w:b/>
                <w:sz w:val="20"/>
                <w:szCs w:val="20"/>
              </w:rPr>
            </w:pPr>
            <w:r w:rsidRPr="0074168B">
              <w:rPr>
                <w:b/>
                <w:sz w:val="20"/>
                <w:szCs w:val="20"/>
                <w:u w:val="single"/>
              </w:rPr>
              <w:t xml:space="preserve">Key Challenges for </w:t>
            </w:r>
            <w:r w:rsidR="00403538">
              <w:rPr>
                <w:b/>
                <w:sz w:val="20"/>
                <w:szCs w:val="20"/>
                <w:u w:val="single"/>
              </w:rPr>
              <w:t>Career Pathways</w:t>
            </w:r>
          </w:p>
          <w:p w14:paraId="7C60DAC5" w14:textId="77777777" w:rsidR="00342439" w:rsidRPr="0074168B" w:rsidRDefault="00342439" w:rsidP="00342439">
            <w:pPr>
              <w:spacing w:before="40" w:after="40"/>
              <w:rPr>
                <w:sz w:val="20"/>
                <w:szCs w:val="20"/>
              </w:rPr>
            </w:pPr>
          </w:p>
          <w:p w14:paraId="2AB5BD04" w14:textId="77777777" w:rsidR="00342439" w:rsidRPr="0074168B" w:rsidRDefault="00342439" w:rsidP="00342439">
            <w:pPr>
              <w:spacing w:before="40" w:after="40"/>
              <w:rPr>
                <w:sz w:val="20"/>
                <w:szCs w:val="20"/>
              </w:rPr>
            </w:pPr>
          </w:p>
        </w:tc>
        <w:tc>
          <w:tcPr>
            <w:tcW w:w="4896" w:type="dxa"/>
            <w:gridSpan w:val="3"/>
            <w:tcBorders>
              <w:right w:val="single" w:sz="8" w:space="0" w:color="auto"/>
            </w:tcBorders>
            <w:shd w:val="clear" w:color="auto" w:fill="FFFAEF"/>
          </w:tcPr>
          <w:p w14:paraId="19210943" w14:textId="14C88971" w:rsidR="00342439" w:rsidRPr="0074168B" w:rsidRDefault="000E730C" w:rsidP="00342439">
            <w:pPr>
              <w:spacing w:before="40" w:after="40"/>
              <w:jc w:val="center"/>
              <w:rPr>
                <w:b/>
                <w:sz w:val="20"/>
                <w:szCs w:val="20"/>
                <w:u w:val="single"/>
              </w:rPr>
            </w:pPr>
            <w:r>
              <w:rPr>
                <w:b/>
                <w:sz w:val="20"/>
                <w:szCs w:val="20"/>
                <w:u w:val="single"/>
              </w:rPr>
              <w:t xml:space="preserve">Top Priorities for </w:t>
            </w:r>
            <w:r w:rsidR="00403538">
              <w:rPr>
                <w:b/>
                <w:sz w:val="20"/>
                <w:szCs w:val="20"/>
                <w:u w:val="single"/>
              </w:rPr>
              <w:t>Career Pathways</w:t>
            </w:r>
          </w:p>
        </w:tc>
      </w:tr>
    </w:tbl>
    <w:p w14:paraId="2BCF1289" w14:textId="77777777" w:rsidR="009304A5" w:rsidRPr="004172D6" w:rsidRDefault="009304A5" w:rsidP="004172D6">
      <w:pPr>
        <w:spacing w:after="0"/>
        <w:rPr>
          <w:sz w:val="12"/>
          <w:szCs w:val="12"/>
        </w:rPr>
      </w:pPr>
    </w:p>
    <w:p w14:paraId="1B81A795" w14:textId="77777777" w:rsidR="007B6CA2" w:rsidRDefault="007B6CA2">
      <w:r>
        <w:br w:type="page"/>
      </w:r>
    </w:p>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8"/>
      </w:tblGrid>
      <w:tr w:rsidR="00791569" w14:paraId="624DD833" w14:textId="77777777" w:rsidTr="007B6CA2">
        <w:tc>
          <w:tcPr>
            <w:tcW w:w="14598"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206CD90" w14:textId="5F3BFDBA" w:rsidR="00791569" w:rsidRPr="007B6CA2" w:rsidRDefault="00C92D4E" w:rsidP="00791569">
            <w:pPr>
              <w:spacing w:before="40" w:after="40"/>
              <w:jc w:val="center"/>
              <w:rPr>
                <w:b/>
                <w:color w:val="002060"/>
                <w:sz w:val="20"/>
                <w:szCs w:val="20"/>
                <w:u w:val="single"/>
              </w:rPr>
            </w:pPr>
            <w:r w:rsidRPr="007B6CA2">
              <w:rPr>
                <w:b/>
                <w:color w:val="002060"/>
                <w:sz w:val="20"/>
                <w:szCs w:val="20"/>
                <w:u w:val="single"/>
              </w:rPr>
              <w:lastRenderedPageBreak/>
              <w:t>Priority 2: Real-World Work Experiences</w:t>
            </w:r>
          </w:p>
          <w:p w14:paraId="1A08E535" w14:textId="54AB648D" w:rsidR="00791569" w:rsidRPr="0046009B" w:rsidRDefault="007B6CA2" w:rsidP="004247F4">
            <w:pPr>
              <w:spacing w:before="40" w:after="40"/>
              <w:rPr>
                <w:sz w:val="18"/>
                <w:szCs w:val="18"/>
              </w:rPr>
            </w:pPr>
            <w:r w:rsidRPr="007B6CA2">
              <w:rPr>
                <w:color w:val="002060"/>
                <w:sz w:val="18"/>
                <w:szCs w:val="18"/>
              </w:rPr>
              <w:t>Design a continuum of work-based learning</w:t>
            </w:r>
            <w:r w:rsidR="00794AEB">
              <w:rPr>
                <w:color w:val="002060"/>
                <w:sz w:val="18"/>
                <w:szCs w:val="18"/>
              </w:rPr>
              <w:t xml:space="preserve"> (WBL)</w:t>
            </w:r>
            <w:r w:rsidRPr="007B6CA2">
              <w:rPr>
                <w:color w:val="002060"/>
                <w:sz w:val="18"/>
                <w:szCs w:val="18"/>
              </w:rPr>
              <w:t xml:space="preserve"> experiences as an integral component of career pathways to allow</w:t>
            </w:r>
            <w:r w:rsidR="00361A2B">
              <w:rPr>
                <w:color w:val="002060"/>
                <w:sz w:val="18"/>
                <w:szCs w:val="18"/>
              </w:rPr>
              <w:t xml:space="preserve"> all</w:t>
            </w:r>
            <w:r w:rsidRPr="007B6CA2">
              <w:rPr>
                <w:color w:val="002060"/>
                <w:sz w:val="18"/>
                <w:szCs w:val="18"/>
              </w:rPr>
              <w:t xml:space="preserve"> students to apply </w:t>
            </w:r>
            <w:r w:rsidR="00794AEB">
              <w:rPr>
                <w:color w:val="002060"/>
                <w:sz w:val="18"/>
                <w:szCs w:val="18"/>
              </w:rPr>
              <w:t>the content they</w:t>
            </w:r>
            <w:r w:rsidRPr="007B6CA2">
              <w:rPr>
                <w:color w:val="002060"/>
                <w:sz w:val="18"/>
                <w:szCs w:val="18"/>
              </w:rPr>
              <w:t xml:space="preserve"> have learned in the classroom to a </w:t>
            </w:r>
            <w:r w:rsidR="009C77AF">
              <w:rPr>
                <w:color w:val="002060"/>
                <w:sz w:val="18"/>
                <w:szCs w:val="18"/>
              </w:rPr>
              <w:t>real</w:t>
            </w:r>
            <w:r w:rsidR="004247F4">
              <w:rPr>
                <w:color w:val="002060"/>
                <w:sz w:val="18"/>
                <w:szCs w:val="18"/>
              </w:rPr>
              <w:t>-</w:t>
            </w:r>
            <w:r w:rsidR="009C77AF">
              <w:rPr>
                <w:color w:val="002060"/>
                <w:sz w:val="18"/>
                <w:szCs w:val="18"/>
              </w:rPr>
              <w:t xml:space="preserve">world </w:t>
            </w:r>
            <w:r w:rsidRPr="007B6CA2">
              <w:rPr>
                <w:color w:val="002060"/>
                <w:sz w:val="18"/>
                <w:szCs w:val="18"/>
              </w:rPr>
              <w:t xml:space="preserve">work </w:t>
            </w:r>
            <w:r w:rsidR="009C77AF">
              <w:rPr>
                <w:color w:val="002060"/>
                <w:sz w:val="18"/>
                <w:szCs w:val="18"/>
              </w:rPr>
              <w:t>setting</w:t>
            </w:r>
            <w:r w:rsidRPr="007B6CA2">
              <w:rPr>
                <w:color w:val="002060"/>
                <w:sz w:val="18"/>
                <w:szCs w:val="18"/>
              </w:rPr>
              <w:t xml:space="preserve"> while developing essential technical skills and professional readiness needed to be successful in </w:t>
            </w:r>
            <w:r w:rsidR="004247F4">
              <w:rPr>
                <w:color w:val="002060"/>
                <w:sz w:val="18"/>
                <w:szCs w:val="18"/>
              </w:rPr>
              <w:t>the workplace</w:t>
            </w:r>
            <w:r w:rsidR="00791569" w:rsidRPr="007B6CA2">
              <w:rPr>
                <w:color w:val="002060"/>
                <w:sz w:val="18"/>
                <w:szCs w:val="18"/>
              </w:rPr>
              <w:t>.</w:t>
            </w:r>
          </w:p>
        </w:tc>
      </w:tr>
    </w:tbl>
    <w:p w14:paraId="5806BEE4" w14:textId="77777777" w:rsidR="007B6CA2" w:rsidRPr="00272505" w:rsidRDefault="007B6CA2" w:rsidP="007B6CA2">
      <w:pPr>
        <w:spacing w:after="0"/>
        <w:rPr>
          <w:sz w:val="12"/>
          <w:szCs w:val="12"/>
        </w:rPr>
      </w:pPr>
    </w:p>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8505"/>
        <w:gridCol w:w="2835"/>
      </w:tblGrid>
      <w:tr w:rsidR="00415948" w14:paraId="5100EC40" w14:textId="77777777" w:rsidTr="00497913">
        <w:tc>
          <w:tcPr>
            <w:tcW w:w="3258" w:type="dxa"/>
            <w:tcBorders>
              <w:top w:val="single" w:sz="8" w:space="0" w:color="auto"/>
              <w:left w:val="single" w:sz="8" w:space="0" w:color="auto"/>
              <w:bottom w:val="single" w:sz="8" w:space="0" w:color="auto"/>
              <w:right w:val="single" w:sz="8" w:space="0" w:color="auto"/>
            </w:tcBorders>
            <w:shd w:val="clear" w:color="auto" w:fill="EEECE1" w:themeFill="background2"/>
          </w:tcPr>
          <w:p w14:paraId="282402B7" w14:textId="0480929A" w:rsidR="00415948" w:rsidRPr="00415948" w:rsidRDefault="00415948" w:rsidP="0094375D">
            <w:pPr>
              <w:spacing w:beforeLines="40" w:before="96" w:afterLines="40" w:after="96"/>
              <w:jc w:val="center"/>
              <w:rPr>
                <w:b/>
                <w:sz w:val="20"/>
                <w:szCs w:val="20"/>
              </w:rPr>
            </w:pPr>
            <w:r w:rsidRPr="00415948">
              <w:rPr>
                <w:b/>
                <w:sz w:val="20"/>
                <w:szCs w:val="20"/>
              </w:rPr>
              <w:t>Target Outcomes</w:t>
            </w:r>
          </w:p>
        </w:tc>
        <w:tc>
          <w:tcPr>
            <w:tcW w:w="8505" w:type="dxa"/>
            <w:tcBorders>
              <w:top w:val="single" w:sz="8" w:space="0" w:color="auto"/>
              <w:left w:val="single" w:sz="8" w:space="0" w:color="auto"/>
              <w:bottom w:val="single" w:sz="8" w:space="0" w:color="auto"/>
              <w:right w:val="single" w:sz="8" w:space="0" w:color="auto"/>
            </w:tcBorders>
            <w:shd w:val="clear" w:color="auto" w:fill="EEECE1" w:themeFill="background2"/>
          </w:tcPr>
          <w:p w14:paraId="0888F1F0" w14:textId="57A0281B" w:rsidR="00415948" w:rsidRPr="0094375D" w:rsidRDefault="0094375D" w:rsidP="0094375D">
            <w:pPr>
              <w:spacing w:beforeLines="40" w:before="96" w:afterLines="40" w:after="96"/>
              <w:jc w:val="center"/>
              <w:rPr>
                <w:b/>
                <w:sz w:val="20"/>
                <w:szCs w:val="20"/>
              </w:rPr>
            </w:pPr>
            <w:r w:rsidRPr="0094375D">
              <w:rPr>
                <w:b/>
                <w:sz w:val="20"/>
                <w:szCs w:val="20"/>
              </w:rPr>
              <w:t>Supporting Criteria</w:t>
            </w:r>
          </w:p>
        </w:tc>
        <w:tc>
          <w:tcPr>
            <w:tcW w:w="2835" w:type="dxa"/>
            <w:tcBorders>
              <w:top w:val="single" w:sz="8" w:space="0" w:color="auto"/>
              <w:left w:val="single" w:sz="8" w:space="0" w:color="auto"/>
              <w:bottom w:val="single" w:sz="8" w:space="0" w:color="auto"/>
              <w:right w:val="single" w:sz="8" w:space="0" w:color="auto"/>
            </w:tcBorders>
            <w:shd w:val="clear" w:color="auto" w:fill="EEECE1" w:themeFill="background2"/>
          </w:tcPr>
          <w:p w14:paraId="08B6344C" w14:textId="0CE83C0A" w:rsidR="00415948" w:rsidRPr="00415948" w:rsidRDefault="0094375D" w:rsidP="0094375D">
            <w:pPr>
              <w:spacing w:beforeLines="40" w:before="96" w:afterLines="40" w:after="96"/>
              <w:jc w:val="center"/>
              <w:rPr>
                <w:sz w:val="18"/>
                <w:szCs w:val="18"/>
              </w:rPr>
            </w:pPr>
            <w:r>
              <w:rPr>
                <w:b/>
                <w:sz w:val="20"/>
                <w:szCs w:val="20"/>
              </w:rPr>
              <w:t>Current Status</w:t>
            </w:r>
          </w:p>
        </w:tc>
      </w:tr>
      <w:tr w:rsidR="0094375D" w14:paraId="00AE99C1" w14:textId="77777777" w:rsidTr="00497913">
        <w:tc>
          <w:tcPr>
            <w:tcW w:w="3258" w:type="dxa"/>
            <w:tcBorders>
              <w:top w:val="single" w:sz="8" w:space="0" w:color="auto"/>
              <w:left w:val="single" w:sz="8" w:space="0" w:color="auto"/>
              <w:bottom w:val="single" w:sz="8" w:space="0" w:color="auto"/>
              <w:right w:val="single" w:sz="8" w:space="0" w:color="auto"/>
            </w:tcBorders>
            <w:shd w:val="clear" w:color="auto" w:fill="EEECE1" w:themeFill="background2"/>
          </w:tcPr>
          <w:p w14:paraId="2ECF9B42" w14:textId="51E2977D" w:rsidR="0094375D" w:rsidRPr="0094375D" w:rsidRDefault="0094375D" w:rsidP="0094375D">
            <w:pPr>
              <w:spacing w:beforeLines="40" w:before="96" w:afterLines="40" w:after="96"/>
              <w:ind w:left="360" w:hanging="317"/>
              <w:rPr>
                <w:sz w:val="18"/>
                <w:szCs w:val="18"/>
              </w:rPr>
            </w:pPr>
            <w:r>
              <w:rPr>
                <w:b/>
                <w:sz w:val="18"/>
                <w:szCs w:val="18"/>
              </w:rPr>
              <w:t>2</w:t>
            </w:r>
            <w:r w:rsidRPr="00791569">
              <w:rPr>
                <w:b/>
                <w:sz w:val="18"/>
                <w:szCs w:val="18"/>
              </w:rPr>
              <w:t xml:space="preserve">a.  </w:t>
            </w:r>
            <w:r>
              <w:rPr>
                <w:b/>
                <w:sz w:val="18"/>
                <w:szCs w:val="18"/>
              </w:rPr>
              <w:t>Expand pathways-aligned</w:t>
            </w:r>
            <w:r w:rsidRPr="003B6205">
              <w:rPr>
                <w:b/>
                <w:sz w:val="18"/>
                <w:szCs w:val="18"/>
              </w:rPr>
              <w:t xml:space="preserve"> work-based learning</w:t>
            </w:r>
            <w:r>
              <w:rPr>
                <w:b/>
                <w:sz w:val="18"/>
                <w:szCs w:val="18"/>
              </w:rPr>
              <w:t xml:space="preserve"> (WBL)</w:t>
            </w:r>
            <w:r w:rsidRPr="003B6205">
              <w:rPr>
                <w:b/>
                <w:sz w:val="18"/>
                <w:szCs w:val="18"/>
              </w:rPr>
              <w:t xml:space="preserve">: </w:t>
            </w:r>
            <w:r>
              <w:rPr>
                <w:sz w:val="18"/>
                <w:szCs w:val="18"/>
              </w:rPr>
              <w:t xml:space="preserve">A continuum of demand-driven WBL is an </w:t>
            </w:r>
            <w:r w:rsidRPr="003B6205">
              <w:rPr>
                <w:sz w:val="18"/>
                <w:szCs w:val="18"/>
              </w:rPr>
              <w:t xml:space="preserve">integral component </w:t>
            </w:r>
            <w:r>
              <w:rPr>
                <w:sz w:val="18"/>
                <w:szCs w:val="18"/>
              </w:rPr>
              <w:t>of career pathways that connects</w:t>
            </w:r>
            <w:r w:rsidRPr="003B6205">
              <w:rPr>
                <w:sz w:val="18"/>
                <w:szCs w:val="18"/>
              </w:rPr>
              <w:t xml:space="preserve"> classroom learning with the </w:t>
            </w:r>
            <w:r>
              <w:rPr>
                <w:sz w:val="18"/>
                <w:szCs w:val="18"/>
              </w:rPr>
              <w:t xml:space="preserve">world of </w:t>
            </w:r>
            <w:r w:rsidRPr="003B6205">
              <w:rPr>
                <w:sz w:val="18"/>
                <w:szCs w:val="18"/>
              </w:rPr>
              <w:t>work.</w:t>
            </w:r>
          </w:p>
        </w:tc>
        <w:tc>
          <w:tcPr>
            <w:tcW w:w="8505" w:type="dxa"/>
            <w:tcBorders>
              <w:top w:val="single" w:sz="8" w:space="0" w:color="auto"/>
              <w:left w:val="single" w:sz="8" w:space="0" w:color="auto"/>
              <w:bottom w:val="single" w:sz="8" w:space="0" w:color="auto"/>
              <w:right w:val="single" w:sz="8" w:space="0" w:color="auto"/>
            </w:tcBorders>
            <w:shd w:val="clear" w:color="auto" w:fill="EEECE1" w:themeFill="background2"/>
          </w:tcPr>
          <w:p w14:paraId="3C633602" w14:textId="77777777" w:rsidR="0094375D" w:rsidRPr="001B5583" w:rsidRDefault="0094375D" w:rsidP="0094375D">
            <w:pPr>
              <w:spacing w:beforeLines="40" w:before="96" w:afterLines="40" w:after="96"/>
              <w:rPr>
                <w:b/>
                <w:sz w:val="20"/>
                <w:szCs w:val="20"/>
              </w:rPr>
            </w:pPr>
            <w:r w:rsidRPr="001B5583">
              <w:rPr>
                <w:b/>
                <w:sz w:val="20"/>
                <w:szCs w:val="20"/>
              </w:rPr>
              <w:t xml:space="preserve">Target outcome 2a: Expand co-curricular, industry-aligned work-based learning experiences </w:t>
            </w:r>
          </w:p>
          <w:p w14:paraId="451BB8A7" w14:textId="4DFEDC56" w:rsidR="0094375D" w:rsidRDefault="0094375D" w:rsidP="00A44D7D">
            <w:pPr>
              <w:pStyle w:val="ListParagraph"/>
              <w:numPr>
                <w:ilvl w:val="0"/>
                <w:numId w:val="10"/>
              </w:numPr>
              <w:spacing w:beforeLines="40" w:before="96" w:afterLines="40" w:after="96"/>
              <w:rPr>
                <w:sz w:val="18"/>
                <w:szCs w:val="18"/>
              </w:rPr>
            </w:pPr>
            <w:r>
              <w:rPr>
                <w:sz w:val="18"/>
                <w:szCs w:val="18"/>
              </w:rPr>
              <w:t>The state has designed a P-20 continuum of WBL experiences that</w:t>
            </w:r>
            <w:r w:rsidRPr="00914217">
              <w:rPr>
                <w:sz w:val="18"/>
                <w:szCs w:val="18"/>
              </w:rPr>
              <w:t xml:space="preserve"> progress</w:t>
            </w:r>
            <w:r>
              <w:rPr>
                <w:sz w:val="18"/>
                <w:szCs w:val="18"/>
              </w:rPr>
              <w:t>es</w:t>
            </w:r>
            <w:r w:rsidRPr="00914217">
              <w:rPr>
                <w:sz w:val="18"/>
                <w:szCs w:val="18"/>
              </w:rPr>
              <w:t xml:space="preserve"> from awareness and exploration to preparation and training to give students insight into the range of careers available and associated entry requirements to</w:t>
            </w:r>
            <w:r>
              <w:rPr>
                <w:sz w:val="18"/>
                <w:szCs w:val="18"/>
              </w:rPr>
              <w:t xml:space="preserve"> help them</w:t>
            </w:r>
            <w:r w:rsidRPr="00914217">
              <w:rPr>
                <w:sz w:val="18"/>
                <w:szCs w:val="18"/>
              </w:rPr>
              <w:t xml:space="preserve"> make informed choices about long-term goals.</w:t>
            </w:r>
            <w:r>
              <w:rPr>
                <w:sz w:val="18"/>
                <w:szCs w:val="18"/>
              </w:rPr>
              <w:br/>
            </w:r>
          </w:p>
          <w:p w14:paraId="503B57AD" w14:textId="0B199B1A" w:rsidR="008D7FD3" w:rsidRDefault="00497913" w:rsidP="00A44D7D">
            <w:pPr>
              <w:pStyle w:val="ListParagraph"/>
              <w:numPr>
                <w:ilvl w:val="0"/>
                <w:numId w:val="10"/>
              </w:numPr>
              <w:spacing w:beforeLines="40" w:before="96" w:afterLines="40" w:after="96"/>
              <w:rPr>
                <w:sz w:val="18"/>
                <w:szCs w:val="18"/>
              </w:rPr>
            </w:pPr>
            <w:r>
              <w:rPr>
                <w:sz w:val="18"/>
                <w:szCs w:val="18"/>
              </w:rPr>
              <w:t>There is a range of</w:t>
            </w:r>
            <w:r w:rsidR="0094375D">
              <w:rPr>
                <w:sz w:val="18"/>
                <w:szCs w:val="18"/>
              </w:rPr>
              <w:t xml:space="preserve"> WBL experiences embedded within</w:t>
            </w:r>
            <w:r w:rsidR="000E730C">
              <w:rPr>
                <w:sz w:val="18"/>
                <w:szCs w:val="18"/>
              </w:rPr>
              <w:t xml:space="preserve"> local</w:t>
            </w:r>
            <w:r w:rsidR="0094375D" w:rsidRPr="00914217">
              <w:rPr>
                <w:sz w:val="18"/>
                <w:szCs w:val="18"/>
              </w:rPr>
              <w:t xml:space="preserve"> pathways</w:t>
            </w:r>
            <w:r w:rsidR="0094375D">
              <w:rPr>
                <w:sz w:val="18"/>
                <w:szCs w:val="18"/>
              </w:rPr>
              <w:t xml:space="preserve"> for </w:t>
            </w:r>
            <w:r w:rsidR="0094375D" w:rsidRPr="002B6544">
              <w:rPr>
                <w:b/>
                <w:sz w:val="18"/>
                <w:szCs w:val="18"/>
                <w:u w:val="single"/>
              </w:rPr>
              <w:t>all</w:t>
            </w:r>
            <w:r w:rsidR="0094375D">
              <w:rPr>
                <w:sz w:val="18"/>
                <w:szCs w:val="18"/>
              </w:rPr>
              <w:t xml:space="preserve"> students</w:t>
            </w:r>
            <w:r w:rsidR="004C2C57">
              <w:rPr>
                <w:sz w:val="18"/>
                <w:szCs w:val="18"/>
              </w:rPr>
              <w:t xml:space="preserve"> that</w:t>
            </w:r>
            <w:r w:rsidR="0094375D">
              <w:rPr>
                <w:sz w:val="18"/>
                <w:szCs w:val="18"/>
              </w:rPr>
              <w:t xml:space="preserve"> are co-curricular and are</w:t>
            </w:r>
            <w:r w:rsidR="0094375D" w:rsidRPr="00914217">
              <w:rPr>
                <w:sz w:val="18"/>
                <w:szCs w:val="18"/>
              </w:rPr>
              <w:t xml:space="preserve"> aligned with</w:t>
            </w:r>
            <w:r w:rsidR="0094375D">
              <w:rPr>
                <w:sz w:val="18"/>
                <w:szCs w:val="18"/>
              </w:rPr>
              <w:t xml:space="preserve"> priority</w:t>
            </w:r>
            <w:r w:rsidR="0094375D" w:rsidRPr="00914217">
              <w:rPr>
                <w:sz w:val="18"/>
                <w:szCs w:val="18"/>
              </w:rPr>
              <w:t xml:space="preserve"> sector needs.</w:t>
            </w:r>
            <w:r w:rsidR="0094375D">
              <w:rPr>
                <w:sz w:val="18"/>
                <w:szCs w:val="18"/>
              </w:rPr>
              <w:t xml:space="preserve"> </w:t>
            </w:r>
          </w:p>
          <w:p w14:paraId="705FD928" w14:textId="77777777" w:rsidR="008D7FD3" w:rsidRDefault="008D7FD3" w:rsidP="008D7FD3">
            <w:pPr>
              <w:pStyle w:val="ListParagraph"/>
              <w:spacing w:beforeLines="40" w:before="96" w:afterLines="40" w:after="96"/>
              <w:ind w:left="360"/>
              <w:rPr>
                <w:sz w:val="18"/>
                <w:szCs w:val="18"/>
              </w:rPr>
            </w:pPr>
          </w:p>
          <w:p w14:paraId="6D840E63" w14:textId="72D6BD33" w:rsidR="0094375D" w:rsidRPr="0094375D" w:rsidRDefault="008D7FD3" w:rsidP="00A44D7D">
            <w:pPr>
              <w:pStyle w:val="ListParagraph"/>
              <w:numPr>
                <w:ilvl w:val="0"/>
                <w:numId w:val="10"/>
              </w:numPr>
              <w:spacing w:beforeLines="40" w:before="96" w:afterLines="40" w:after="96"/>
              <w:rPr>
                <w:sz w:val="18"/>
                <w:szCs w:val="18"/>
              </w:rPr>
            </w:pPr>
            <w:r>
              <w:rPr>
                <w:sz w:val="18"/>
                <w:szCs w:val="18"/>
              </w:rPr>
              <w:t xml:space="preserve">More “advanced” </w:t>
            </w:r>
            <w:r w:rsidR="004C2C57">
              <w:rPr>
                <w:sz w:val="18"/>
                <w:szCs w:val="18"/>
              </w:rPr>
              <w:t>WBL</w:t>
            </w:r>
            <w:r w:rsidR="0094375D">
              <w:rPr>
                <w:sz w:val="18"/>
                <w:szCs w:val="18"/>
              </w:rPr>
              <w:t xml:space="preserve"> experiences</w:t>
            </w:r>
            <w:r>
              <w:rPr>
                <w:sz w:val="18"/>
                <w:szCs w:val="18"/>
              </w:rPr>
              <w:t xml:space="preserve"> – like internships and youth apprenticeships -</w:t>
            </w:r>
            <w:r w:rsidR="0094375D">
              <w:rPr>
                <w:sz w:val="18"/>
                <w:szCs w:val="18"/>
              </w:rPr>
              <w:t xml:space="preserve"> further develop students’ content knowledge, technical skill, and professional readiness; as such, they count for course credit.</w:t>
            </w:r>
          </w:p>
        </w:tc>
        <w:tc>
          <w:tcPr>
            <w:tcW w:w="2835" w:type="dxa"/>
            <w:tcBorders>
              <w:top w:val="single" w:sz="8" w:space="0" w:color="auto"/>
              <w:left w:val="single" w:sz="8" w:space="0" w:color="auto"/>
              <w:bottom w:val="single" w:sz="8" w:space="0" w:color="auto"/>
              <w:right w:val="single" w:sz="8" w:space="0" w:color="auto"/>
            </w:tcBorders>
            <w:shd w:val="clear" w:color="auto" w:fill="EEECE1" w:themeFill="background2"/>
          </w:tcPr>
          <w:p w14:paraId="1D558A8A" w14:textId="77777777" w:rsidR="0094375D" w:rsidRDefault="0094375D" w:rsidP="0094375D">
            <w:pPr>
              <w:spacing w:beforeLines="40" w:before="96" w:afterLines="40" w:after="96"/>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379FB68D" w14:textId="77777777" w:rsidTr="00497913">
              <w:tc>
                <w:tcPr>
                  <w:tcW w:w="652" w:type="dxa"/>
                </w:tcPr>
                <w:p w14:paraId="52952018" w14:textId="77777777" w:rsidR="00EF6046" w:rsidRPr="00ED64CA" w:rsidRDefault="008530DA" w:rsidP="00EF6046">
                  <w:pPr>
                    <w:spacing w:before="40" w:after="40"/>
                    <w:jc w:val="center"/>
                    <w:rPr>
                      <w:b/>
                      <w:bCs/>
                      <w:sz w:val="20"/>
                      <w:szCs w:val="20"/>
                    </w:rPr>
                  </w:pPr>
                  <w:sdt>
                    <w:sdtPr>
                      <w:rPr>
                        <w:b/>
                        <w:bCs/>
                        <w:sz w:val="20"/>
                        <w:szCs w:val="20"/>
                      </w:rPr>
                      <w:id w:val="-346020255"/>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3DFD2C7C" w14:textId="77777777" w:rsidR="00EF6046" w:rsidRPr="00ED64CA" w:rsidRDefault="008530DA" w:rsidP="00EF6046">
                  <w:pPr>
                    <w:spacing w:before="40" w:after="40"/>
                    <w:jc w:val="center"/>
                    <w:rPr>
                      <w:b/>
                      <w:bCs/>
                      <w:sz w:val="20"/>
                      <w:szCs w:val="20"/>
                    </w:rPr>
                  </w:pPr>
                  <w:sdt>
                    <w:sdtPr>
                      <w:rPr>
                        <w:b/>
                        <w:bCs/>
                        <w:sz w:val="20"/>
                        <w:szCs w:val="20"/>
                      </w:rPr>
                      <w:id w:val="-1362424708"/>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34A05CE0" w14:textId="77777777" w:rsidR="00EF6046" w:rsidRPr="00ED64CA" w:rsidRDefault="008530DA" w:rsidP="00EF6046">
                  <w:pPr>
                    <w:spacing w:before="40" w:after="40"/>
                    <w:jc w:val="center"/>
                    <w:rPr>
                      <w:b/>
                      <w:bCs/>
                      <w:sz w:val="20"/>
                      <w:szCs w:val="20"/>
                    </w:rPr>
                  </w:pPr>
                  <w:sdt>
                    <w:sdtPr>
                      <w:rPr>
                        <w:b/>
                        <w:bCs/>
                        <w:sz w:val="20"/>
                        <w:szCs w:val="20"/>
                      </w:rPr>
                      <w:id w:val="935874005"/>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0717D053" w14:textId="77777777" w:rsidR="00EF6046" w:rsidRPr="00ED64CA" w:rsidRDefault="008530DA" w:rsidP="00EF6046">
                  <w:pPr>
                    <w:spacing w:before="40" w:after="40"/>
                    <w:jc w:val="center"/>
                    <w:rPr>
                      <w:b/>
                      <w:bCs/>
                      <w:sz w:val="20"/>
                      <w:szCs w:val="20"/>
                    </w:rPr>
                  </w:pPr>
                  <w:sdt>
                    <w:sdtPr>
                      <w:rPr>
                        <w:b/>
                        <w:bCs/>
                        <w:sz w:val="20"/>
                        <w:szCs w:val="20"/>
                      </w:rPr>
                      <w:id w:val="968552742"/>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60AF9505" w14:textId="4AF4BDA7" w:rsidR="00EF6046" w:rsidRDefault="00EF6046" w:rsidP="0094375D">
            <w:pPr>
              <w:spacing w:beforeLines="40" w:before="96" w:afterLines="40" w:after="96"/>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1F0CD868" w14:textId="77777777" w:rsidTr="00497913">
              <w:tc>
                <w:tcPr>
                  <w:tcW w:w="652" w:type="dxa"/>
                </w:tcPr>
                <w:p w14:paraId="73FA19DB" w14:textId="77777777" w:rsidR="00EF6046" w:rsidRPr="00ED64CA" w:rsidRDefault="008530DA" w:rsidP="00EF6046">
                  <w:pPr>
                    <w:spacing w:before="40" w:after="40"/>
                    <w:jc w:val="center"/>
                    <w:rPr>
                      <w:b/>
                      <w:bCs/>
                      <w:sz w:val="20"/>
                      <w:szCs w:val="20"/>
                    </w:rPr>
                  </w:pPr>
                  <w:sdt>
                    <w:sdtPr>
                      <w:rPr>
                        <w:b/>
                        <w:bCs/>
                        <w:sz w:val="20"/>
                        <w:szCs w:val="20"/>
                      </w:rPr>
                      <w:id w:val="1212380760"/>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5CBEE436" w14:textId="77777777" w:rsidR="00EF6046" w:rsidRPr="00ED64CA" w:rsidRDefault="008530DA" w:rsidP="00EF6046">
                  <w:pPr>
                    <w:spacing w:before="40" w:after="40"/>
                    <w:jc w:val="center"/>
                    <w:rPr>
                      <w:b/>
                      <w:bCs/>
                      <w:sz w:val="20"/>
                      <w:szCs w:val="20"/>
                    </w:rPr>
                  </w:pPr>
                  <w:sdt>
                    <w:sdtPr>
                      <w:rPr>
                        <w:b/>
                        <w:bCs/>
                        <w:sz w:val="20"/>
                        <w:szCs w:val="20"/>
                      </w:rPr>
                      <w:id w:val="1991746132"/>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2245DCFC" w14:textId="77777777" w:rsidR="00EF6046" w:rsidRPr="00ED64CA" w:rsidRDefault="008530DA" w:rsidP="00EF6046">
                  <w:pPr>
                    <w:spacing w:before="40" w:after="40"/>
                    <w:jc w:val="center"/>
                    <w:rPr>
                      <w:b/>
                      <w:bCs/>
                      <w:sz w:val="20"/>
                      <w:szCs w:val="20"/>
                    </w:rPr>
                  </w:pPr>
                  <w:sdt>
                    <w:sdtPr>
                      <w:rPr>
                        <w:b/>
                        <w:bCs/>
                        <w:sz w:val="20"/>
                        <w:szCs w:val="20"/>
                      </w:rPr>
                      <w:id w:val="-741410785"/>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6D3B8291" w14:textId="77777777" w:rsidR="00EF6046" w:rsidRPr="00ED64CA" w:rsidRDefault="008530DA" w:rsidP="00EF6046">
                  <w:pPr>
                    <w:spacing w:before="40" w:after="40"/>
                    <w:jc w:val="center"/>
                    <w:rPr>
                      <w:b/>
                      <w:bCs/>
                      <w:sz w:val="20"/>
                      <w:szCs w:val="20"/>
                    </w:rPr>
                  </w:pPr>
                  <w:sdt>
                    <w:sdtPr>
                      <w:rPr>
                        <w:b/>
                        <w:bCs/>
                        <w:sz w:val="20"/>
                        <w:szCs w:val="20"/>
                      </w:rPr>
                      <w:id w:val="884684802"/>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2A1C8B88" w14:textId="4AD6DEA1" w:rsidR="00EF6046" w:rsidRPr="00EF6046" w:rsidRDefault="00EF6046" w:rsidP="0094375D">
            <w:pPr>
              <w:spacing w:beforeLines="40" w:before="96"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2D334DE2" w14:textId="77777777" w:rsidTr="00497913">
              <w:tc>
                <w:tcPr>
                  <w:tcW w:w="652" w:type="dxa"/>
                </w:tcPr>
                <w:p w14:paraId="4061A0A9" w14:textId="043345B7" w:rsidR="00EF6046" w:rsidRPr="00ED64CA" w:rsidRDefault="008530DA" w:rsidP="00EF6046">
                  <w:pPr>
                    <w:spacing w:before="40" w:after="40"/>
                    <w:jc w:val="center"/>
                    <w:rPr>
                      <w:b/>
                      <w:bCs/>
                      <w:sz w:val="20"/>
                      <w:szCs w:val="20"/>
                    </w:rPr>
                  </w:pPr>
                  <w:sdt>
                    <w:sdtPr>
                      <w:rPr>
                        <w:b/>
                        <w:bCs/>
                        <w:sz w:val="20"/>
                        <w:szCs w:val="20"/>
                      </w:rPr>
                      <w:id w:val="-161545418"/>
                      <w14:checkbox>
                        <w14:checked w14:val="0"/>
                        <w14:checkedState w14:val="2612" w14:font="MS Gothic"/>
                        <w14:uncheckedState w14:val="2610" w14:font="MS Gothic"/>
                      </w14:checkbox>
                    </w:sdtPr>
                    <w:sdtContent>
                      <w:r w:rsidR="00FA1401">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7C5D5925" w14:textId="37EDD763" w:rsidR="00EF6046" w:rsidRPr="00ED64CA" w:rsidRDefault="008530DA" w:rsidP="00EF6046">
                  <w:pPr>
                    <w:spacing w:before="40" w:after="40"/>
                    <w:jc w:val="center"/>
                    <w:rPr>
                      <w:b/>
                      <w:bCs/>
                      <w:sz w:val="20"/>
                      <w:szCs w:val="20"/>
                    </w:rPr>
                  </w:pPr>
                  <w:sdt>
                    <w:sdtPr>
                      <w:rPr>
                        <w:b/>
                        <w:bCs/>
                        <w:sz w:val="20"/>
                        <w:szCs w:val="20"/>
                      </w:rPr>
                      <w:id w:val="-2115589354"/>
                      <w14:checkbox>
                        <w14:checked w14:val="0"/>
                        <w14:checkedState w14:val="2612" w14:font="MS Gothic"/>
                        <w14:uncheckedState w14:val="2610" w14:font="MS Gothic"/>
                      </w14:checkbox>
                    </w:sdtPr>
                    <w:sdtContent>
                      <w:r w:rsidR="008D7FD3">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2431D3E8" w14:textId="77777777" w:rsidR="00EF6046" w:rsidRPr="00ED64CA" w:rsidRDefault="008530DA" w:rsidP="00EF6046">
                  <w:pPr>
                    <w:spacing w:before="40" w:after="40"/>
                    <w:jc w:val="center"/>
                    <w:rPr>
                      <w:b/>
                      <w:bCs/>
                      <w:sz w:val="20"/>
                      <w:szCs w:val="20"/>
                    </w:rPr>
                  </w:pPr>
                  <w:sdt>
                    <w:sdtPr>
                      <w:rPr>
                        <w:b/>
                        <w:bCs/>
                        <w:sz w:val="20"/>
                        <w:szCs w:val="20"/>
                      </w:rPr>
                      <w:id w:val="-574435373"/>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795CC9E2" w14:textId="3E062A83" w:rsidR="008D7FD3" w:rsidRDefault="008530DA" w:rsidP="00EF6046">
                  <w:pPr>
                    <w:spacing w:before="40" w:after="40"/>
                    <w:jc w:val="center"/>
                    <w:rPr>
                      <w:b/>
                      <w:bCs/>
                      <w:sz w:val="20"/>
                      <w:szCs w:val="20"/>
                    </w:rPr>
                  </w:pPr>
                  <w:sdt>
                    <w:sdtPr>
                      <w:rPr>
                        <w:b/>
                        <w:bCs/>
                        <w:sz w:val="20"/>
                        <w:szCs w:val="20"/>
                      </w:rPr>
                      <w:id w:val="753015935"/>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p w14:paraId="269B41AD" w14:textId="3B5A50FE" w:rsidR="008D7FD3" w:rsidRPr="00ED64CA" w:rsidRDefault="008D7FD3" w:rsidP="008D7FD3">
                  <w:pPr>
                    <w:spacing w:before="40"/>
                    <w:jc w:val="center"/>
                    <w:rPr>
                      <w:b/>
                      <w:bCs/>
                      <w:sz w:val="20"/>
                      <w:szCs w:val="20"/>
                    </w:rPr>
                  </w:pPr>
                </w:p>
              </w:tc>
            </w:tr>
          </w:tbl>
          <w:p w14:paraId="7E28DCE1" w14:textId="052B141F" w:rsidR="00EF6046" w:rsidRDefault="00EF6046" w:rsidP="0094375D">
            <w:pPr>
              <w:spacing w:beforeLines="40" w:before="96" w:afterLines="40" w:after="96"/>
              <w:jc w:val="center"/>
              <w:rPr>
                <w:b/>
                <w:sz w:val="20"/>
                <w:szCs w:val="20"/>
              </w:rPr>
            </w:pPr>
          </w:p>
        </w:tc>
      </w:tr>
      <w:tr w:rsidR="0094375D" w14:paraId="6F3CA4B5" w14:textId="77777777" w:rsidTr="00497913">
        <w:tc>
          <w:tcPr>
            <w:tcW w:w="3258" w:type="dxa"/>
            <w:tcBorders>
              <w:top w:val="single" w:sz="8" w:space="0" w:color="auto"/>
              <w:left w:val="single" w:sz="8" w:space="0" w:color="auto"/>
              <w:bottom w:val="single" w:sz="8" w:space="0" w:color="auto"/>
              <w:right w:val="single" w:sz="8" w:space="0" w:color="auto"/>
            </w:tcBorders>
            <w:shd w:val="clear" w:color="auto" w:fill="EEECE1" w:themeFill="background2"/>
          </w:tcPr>
          <w:p w14:paraId="010FCFB0" w14:textId="3BDD402D" w:rsidR="0094375D" w:rsidRPr="0094375D" w:rsidRDefault="0094375D" w:rsidP="0094375D">
            <w:pPr>
              <w:spacing w:beforeLines="40" w:before="96" w:afterLines="40" w:after="96"/>
              <w:ind w:left="360" w:hanging="317"/>
              <w:rPr>
                <w:bCs/>
                <w:sz w:val="18"/>
                <w:szCs w:val="18"/>
              </w:rPr>
            </w:pPr>
            <w:r>
              <w:rPr>
                <w:b/>
                <w:sz w:val="18"/>
                <w:szCs w:val="18"/>
              </w:rPr>
              <w:t>2b.  Ensure WBL is high-quality:</w:t>
            </w:r>
            <w:r>
              <w:rPr>
                <w:bCs/>
                <w:sz w:val="18"/>
                <w:szCs w:val="18"/>
              </w:rPr>
              <w:t xml:space="preserve"> Mechanisms have been designed and deployed to provide WBL experiences that focus on technical and professional skill attainment and growth of student readiness.</w:t>
            </w:r>
          </w:p>
        </w:tc>
        <w:tc>
          <w:tcPr>
            <w:tcW w:w="8505" w:type="dxa"/>
            <w:tcBorders>
              <w:top w:val="single" w:sz="8" w:space="0" w:color="auto"/>
              <w:left w:val="single" w:sz="8" w:space="0" w:color="auto"/>
              <w:bottom w:val="single" w:sz="8" w:space="0" w:color="auto"/>
              <w:right w:val="single" w:sz="8" w:space="0" w:color="auto"/>
            </w:tcBorders>
            <w:shd w:val="clear" w:color="auto" w:fill="EEECE1" w:themeFill="background2"/>
          </w:tcPr>
          <w:p w14:paraId="563C94FF" w14:textId="77777777" w:rsidR="0094375D" w:rsidRPr="001B5583" w:rsidRDefault="0094375D" w:rsidP="0094375D">
            <w:pPr>
              <w:spacing w:beforeLines="40" w:before="96" w:afterLines="40" w:after="96"/>
              <w:rPr>
                <w:b/>
                <w:sz w:val="19"/>
                <w:szCs w:val="19"/>
              </w:rPr>
            </w:pPr>
            <w:r w:rsidRPr="001B5583">
              <w:rPr>
                <w:b/>
                <w:sz w:val="19"/>
                <w:szCs w:val="19"/>
              </w:rPr>
              <w:t>Target outcome 2b: Design and offer WBL experiences that are high-quality for students and employers</w:t>
            </w:r>
          </w:p>
          <w:p w14:paraId="6D2CF046" w14:textId="2AEF9C88" w:rsidR="0094375D" w:rsidRPr="004C2C57" w:rsidRDefault="0094375D" w:rsidP="00A44D7D">
            <w:pPr>
              <w:pStyle w:val="ListParagraph"/>
              <w:numPr>
                <w:ilvl w:val="0"/>
                <w:numId w:val="13"/>
              </w:numPr>
              <w:spacing w:beforeLines="40" w:before="96" w:afterLines="40" w:after="96"/>
              <w:ind w:left="405"/>
              <w:rPr>
                <w:sz w:val="18"/>
                <w:szCs w:val="18"/>
              </w:rPr>
            </w:pPr>
            <w:r w:rsidRPr="004C2C57">
              <w:rPr>
                <w:sz w:val="18"/>
                <w:szCs w:val="18"/>
              </w:rPr>
              <w:t>The state has developed criteria for high-quality WBL experiences spanning career awareness, exploration, preparation, and training; and has developed</w:t>
            </w:r>
            <w:r w:rsidR="004C2C57">
              <w:rPr>
                <w:sz w:val="18"/>
                <w:szCs w:val="18"/>
              </w:rPr>
              <w:t xml:space="preserve"> well-utilized</w:t>
            </w:r>
            <w:r w:rsidRPr="004C2C57">
              <w:rPr>
                <w:sz w:val="18"/>
                <w:szCs w:val="18"/>
              </w:rPr>
              <w:t xml:space="preserve"> supports, template, guides, and other resources to drive quality and consistency.</w:t>
            </w:r>
            <w:r w:rsidR="00EF6046" w:rsidRPr="004C2C57">
              <w:rPr>
                <w:sz w:val="18"/>
                <w:szCs w:val="18"/>
              </w:rPr>
              <w:br/>
            </w:r>
          </w:p>
          <w:p w14:paraId="700A8E02" w14:textId="487DD8A6" w:rsidR="0094375D" w:rsidRPr="006E5DCF" w:rsidRDefault="0094375D" w:rsidP="00A44D7D">
            <w:pPr>
              <w:pStyle w:val="ListParagraph"/>
              <w:numPr>
                <w:ilvl w:val="0"/>
                <w:numId w:val="13"/>
              </w:numPr>
              <w:spacing w:beforeLines="40" w:before="96" w:afterLines="40" w:after="96"/>
              <w:ind w:left="405"/>
              <w:rPr>
                <w:sz w:val="18"/>
                <w:szCs w:val="18"/>
              </w:rPr>
            </w:pPr>
            <w:r>
              <w:rPr>
                <w:sz w:val="18"/>
                <w:szCs w:val="18"/>
              </w:rPr>
              <w:t xml:space="preserve">The state and/or local district and </w:t>
            </w:r>
            <w:r w:rsidR="004C2C57">
              <w:rPr>
                <w:sz w:val="18"/>
                <w:szCs w:val="18"/>
              </w:rPr>
              <w:t>postsecondary</w:t>
            </w:r>
            <w:r>
              <w:rPr>
                <w:sz w:val="18"/>
                <w:szCs w:val="18"/>
              </w:rPr>
              <w:t xml:space="preserve"> education partners have developed a</w:t>
            </w:r>
            <w:r w:rsidR="00033906">
              <w:rPr>
                <w:sz w:val="18"/>
                <w:szCs w:val="18"/>
              </w:rPr>
              <w:t xml:space="preserve"> </w:t>
            </w:r>
            <w:r>
              <w:rPr>
                <w:sz w:val="18"/>
                <w:szCs w:val="18"/>
              </w:rPr>
              <w:t>diagnostic tool to</w:t>
            </w:r>
            <w:r w:rsidR="00033906">
              <w:rPr>
                <w:sz w:val="18"/>
                <w:szCs w:val="18"/>
              </w:rPr>
              <w:t xml:space="preserve"> set student learning outcome targets for</w:t>
            </w:r>
            <w:r>
              <w:rPr>
                <w:sz w:val="18"/>
                <w:szCs w:val="18"/>
              </w:rPr>
              <w:t xml:space="preserve"> WBL experiences </w:t>
            </w:r>
            <w:r w:rsidR="00033906">
              <w:rPr>
                <w:sz w:val="18"/>
                <w:szCs w:val="18"/>
              </w:rPr>
              <w:t xml:space="preserve">in a way that will </w:t>
            </w:r>
            <w:r>
              <w:rPr>
                <w:sz w:val="18"/>
                <w:szCs w:val="18"/>
              </w:rPr>
              <w:t>develop students’ technical and professional skills needed for success in the workplace.</w:t>
            </w:r>
            <w:r w:rsidR="00EF6046">
              <w:rPr>
                <w:sz w:val="18"/>
                <w:szCs w:val="18"/>
              </w:rPr>
              <w:br/>
            </w:r>
          </w:p>
          <w:p w14:paraId="5FF6E82C" w14:textId="1EED330C" w:rsidR="0094375D" w:rsidRDefault="0094375D" w:rsidP="00A44D7D">
            <w:pPr>
              <w:pStyle w:val="ListParagraph"/>
              <w:numPr>
                <w:ilvl w:val="0"/>
                <w:numId w:val="13"/>
              </w:numPr>
              <w:spacing w:beforeLines="40" w:before="96" w:afterLines="40" w:after="96"/>
              <w:ind w:left="405"/>
              <w:rPr>
                <w:sz w:val="18"/>
                <w:szCs w:val="18"/>
              </w:rPr>
            </w:pPr>
            <w:r>
              <w:rPr>
                <w:sz w:val="18"/>
                <w:szCs w:val="18"/>
              </w:rPr>
              <w:t>District, school and/or institution staff work with the supervising employers to build a personalized training plan tied to student learning outcome targets identified by the diagnostic tool.</w:t>
            </w:r>
            <w:r w:rsidR="00EF6046">
              <w:rPr>
                <w:sz w:val="18"/>
                <w:szCs w:val="18"/>
              </w:rPr>
              <w:br/>
            </w:r>
          </w:p>
          <w:p w14:paraId="6CF258BA" w14:textId="0E01EF70" w:rsidR="00FA1401" w:rsidRPr="00035277" w:rsidRDefault="00FA1401" w:rsidP="00A44D7D">
            <w:pPr>
              <w:pStyle w:val="ListParagraph"/>
              <w:numPr>
                <w:ilvl w:val="0"/>
                <w:numId w:val="13"/>
              </w:numPr>
              <w:spacing w:beforeLines="40" w:before="96" w:afterLines="40" w:after="96"/>
              <w:ind w:left="405"/>
              <w:rPr>
                <w:sz w:val="18"/>
                <w:szCs w:val="18"/>
              </w:rPr>
            </w:pPr>
            <w:r w:rsidRPr="00035277">
              <w:rPr>
                <w:sz w:val="18"/>
                <w:szCs w:val="18"/>
              </w:rPr>
              <w:t>Local WBL experiences have been redesigned in response to</w:t>
            </w:r>
            <w:r w:rsidR="00835281" w:rsidRPr="00035277">
              <w:rPr>
                <w:sz w:val="18"/>
                <w:szCs w:val="18"/>
              </w:rPr>
              <w:t xml:space="preserve"> </w:t>
            </w:r>
            <w:r w:rsidRPr="00035277">
              <w:rPr>
                <w:sz w:val="18"/>
                <w:szCs w:val="18"/>
              </w:rPr>
              <w:t xml:space="preserve">COVID-19 to </w:t>
            </w:r>
            <w:r w:rsidR="00CB6EC8" w:rsidRPr="00035277">
              <w:rPr>
                <w:sz w:val="18"/>
                <w:szCs w:val="18"/>
              </w:rPr>
              <w:t>help</w:t>
            </w:r>
            <w:r w:rsidRPr="00035277">
              <w:rPr>
                <w:sz w:val="18"/>
                <w:szCs w:val="18"/>
              </w:rPr>
              <w:t xml:space="preserve"> employers </w:t>
            </w:r>
            <w:r w:rsidR="00835281" w:rsidRPr="00035277">
              <w:rPr>
                <w:sz w:val="18"/>
                <w:szCs w:val="18"/>
              </w:rPr>
              <w:t>provid</w:t>
            </w:r>
            <w:r w:rsidR="00CB6EC8" w:rsidRPr="00035277">
              <w:rPr>
                <w:sz w:val="18"/>
                <w:szCs w:val="18"/>
              </w:rPr>
              <w:t>e</w:t>
            </w:r>
            <w:r w:rsidR="00835281" w:rsidRPr="00035277">
              <w:rPr>
                <w:sz w:val="18"/>
                <w:szCs w:val="18"/>
              </w:rPr>
              <w:t xml:space="preserve"> high-quality</w:t>
            </w:r>
            <w:r w:rsidR="00CB6EC8" w:rsidRPr="00035277">
              <w:rPr>
                <w:sz w:val="18"/>
                <w:szCs w:val="18"/>
              </w:rPr>
              <w:t>, more efficient</w:t>
            </w:r>
            <w:r w:rsidR="00835281" w:rsidRPr="00035277">
              <w:rPr>
                <w:sz w:val="18"/>
                <w:szCs w:val="18"/>
              </w:rPr>
              <w:t xml:space="preserve"> student experiences</w:t>
            </w:r>
            <w:r w:rsidRPr="00035277">
              <w:rPr>
                <w:sz w:val="18"/>
                <w:szCs w:val="18"/>
              </w:rPr>
              <w:t xml:space="preserve"> by utilizing</w:t>
            </w:r>
            <w:r w:rsidR="00835281" w:rsidRPr="00035277">
              <w:rPr>
                <w:sz w:val="18"/>
                <w:szCs w:val="18"/>
              </w:rPr>
              <w:t xml:space="preserve"> innovative</w:t>
            </w:r>
            <w:r w:rsidRPr="00035277">
              <w:rPr>
                <w:sz w:val="18"/>
                <w:szCs w:val="18"/>
              </w:rPr>
              <w:t xml:space="preserve"> strategies like virtual mentoring networks, platforms to facilitate student engagement, group-based internships, etc.</w:t>
            </w:r>
          </w:p>
          <w:p w14:paraId="2573EEAA" w14:textId="77777777" w:rsidR="00FA1401" w:rsidRDefault="00FA1401" w:rsidP="00FA1401">
            <w:pPr>
              <w:pStyle w:val="ListParagraph"/>
              <w:spacing w:beforeLines="40" w:before="96" w:afterLines="40" w:after="96"/>
              <w:ind w:left="405"/>
              <w:rPr>
                <w:sz w:val="18"/>
                <w:szCs w:val="18"/>
              </w:rPr>
            </w:pPr>
          </w:p>
          <w:p w14:paraId="1E35CD28" w14:textId="1092DB43" w:rsidR="0094375D" w:rsidRDefault="0094375D" w:rsidP="00A44D7D">
            <w:pPr>
              <w:pStyle w:val="ListParagraph"/>
              <w:numPr>
                <w:ilvl w:val="0"/>
                <w:numId w:val="13"/>
              </w:numPr>
              <w:spacing w:beforeLines="40" w:before="96" w:afterLines="40" w:after="96"/>
              <w:ind w:left="405"/>
              <w:rPr>
                <w:sz w:val="18"/>
                <w:szCs w:val="18"/>
              </w:rPr>
            </w:pPr>
            <w:r>
              <w:rPr>
                <w:sz w:val="18"/>
                <w:szCs w:val="18"/>
              </w:rPr>
              <w:t>Employers monitor student progress throughout WBL, provide meaningful feedback, and assess student learning.</w:t>
            </w:r>
            <w:r w:rsidR="00EF6046">
              <w:rPr>
                <w:sz w:val="18"/>
                <w:szCs w:val="18"/>
              </w:rPr>
              <w:br/>
            </w:r>
          </w:p>
          <w:p w14:paraId="110C43F6" w14:textId="0CCC0591" w:rsidR="0094375D" w:rsidRPr="00F2063E" w:rsidRDefault="0094375D" w:rsidP="00A44D7D">
            <w:pPr>
              <w:pStyle w:val="ListParagraph"/>
              <w:numPr>
                <w:ilvl w:val="0"/>
                <w:numId w:val="13"/>
              </w:numPr>
              <w:spacing w:beforeLines="40" w:before="96" w:afterLines="40" w:after="96"/>
              <w:ind w:left="405"/>
              <w:rPr>
                <w:sz w:val="18"/>
                <w:szCs w:val="18"/>
              </w:rPr>
            </w:pPr>
            <w:r>
              <w:rPr>
                <w:sz w:val="18"/>
                <w:szCs w:val="18"/>
              </w:rPr>
              <w:t>Teachers/faculty and supervising employers jointly evaluate the extent to which students meet the goals outlined in the</w:t>
            </w:r>
            <w:r w:rsidR="00033906">
              <w:rPr>
                <w:sz w:val="18"/>
                <w:szCs w:val="18"/>
              </w:rPr>
              <w:t xml:space="preserve"> training</w:t>
            </w:r>
            <w:r>
              <w:rPr>
                <w:sz w:val="18"/>
                <w:szCs w:val="18"/>
              </w:rPr>
              <w:t xml:space="preserve"> plan.</w:t>
            </w:r>
            <w:r w:rsidR="00EF6046">
              <w:rPr>
                <w:sz w:val="18"/>
                <w:szCs w:val="18"/>
              </w:rPr>
              <w:br/>
            </w:r>
          </w:p>
          <w:p w14:paraId="569F4C7B" w14:textId="50F864DE" w:rsidR="0094375D" w:rsidRPr="0094375D" w:rsidRDefault="0094375D" w:rsidP="00A44D7D">
            <w:pPr>
              <w:pStyle w:val="ListParagraph"/>
              <w:numPr>
                <w:ilvl w:val="0"/>
                <w:numId w:val="13"/>
              </w:numPr>
              <w:spacing w:beforeLines="40" w:before="96" w:afterLines="40" w:after="96"/>
              <w:ind w:left="405"/>
              <w:rPr>
                <w:sz w:val="18"/>
                <w:szCs w:val="18"/>
              </w:rPr>
            </w:pPr>
            <w:r>
              <w:rPr>
                <w:sz w:val="18"/>
                <w:szCs w:val="18"/>
              </w:rPr>
              <w:t xml:space="preserve">Districts and </w:t>
            </w:r>
            <w:r w:rsidR="004C2C57">
              <w:rPr>
                <w:sz w:val="18"/>
                <w:szCs w:val="18"/>
              </w:rPr>
              <w:t>postsecondary</w:t>
            </w:r>
            <w:r>
              <w:rPr>
                <w:sz w:val="18"/>
                <w:szCs w:val="18"/>
              </w:rPr>
              <w:t xml:space="preserve"> education institutions collect, analyze, and use WBL-related data to understand which students are participating</w:t>
            </w:r>
            <w:r w:rsidR="00033906">
              <w:rPr>
                <w:sz w:val="18"/>
                <w:szCs w:val="18"/>
              </w:rPr>
              <w:t xml:space="preserve"> in WBL</w:t>
            </w:r>
            <w:r>
              <w:rPr>
                <w:sz w:val="18"/>
                <w:szCs w:val="18"/>
              </w:rPr>
              <w:t xml:space="preserve">, what skills </w:t>
            </w:r>
            <w:proofErr w:type="gramStart"/>
            <w:r>
              <w:rPr>
                <w:sz w:val="18"/>
                <w:szCs w:val="18"/>
              </w:rPr>
              <w:t>they’re</w:t>
            </w:r>
            <w:proofErr w:type="gramEnd"/>
            <w:r>
              <w:rPr>
                <w:sz w:val="18"/>
                <w:szCs w:val="18"/>
              </w:rPr>
              <w:t xml:space="preserve"> acquiring, and how improvements can be made to WBL experiences.</w:t>
            </w:r>
          </w:p>
        </w:tc>
        <w:tc>
          <w:tcPr>
            <w:tcW w:w="2835" w:type="dxa"/>
            <w:tcBorders>
              <w:top w:val="single" w:sz="8" w:space="0" w:color="auto"/>
              <w:left w:val="single" w:sz="8" w:space="0" w:color="auto"/>
              <w:bottom w:val="single" w:sz="8" w:space="0" w:color="auto"/>
              <w:right w:val="single" w:sz="8" w:space="0" w:color="auto"/>
            </w:tcBorders>
            <w:shd w:val="clear" w:color="auto" w:fill="EEECE1" w:themeFill="background2"/>
          </w:tcPr>
          <w:p w14:paraId="02A6BC8B" w14:textId="77777777" w:rsidR="0094375D" w:rsidRDefault="0094375D" w:rsidP="0094375D">
            <w:pPr>
              <w:spacing w:beforeLines="40" w:before="96" w:afterLines="40" w:after="96"/>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30F837AD" w14:textId="77777777" w:rsidTr="00497913">
              <w:tc>
                <w:tcPr>
                  <w:tcW w:w="652" w:type="dxa"/>
                </w:tcPr>
                <w:p w14:paraId="33478CC9" w14:textId="77777777" w:rsidR="00EF6046" w:rsidRPr="00ED64CA" w:rsidRDefault="008530DA" w:rsidP="00EF6046">
                  <w:pPr>
                    <w:spacing w:before="40" w:after="40"/>
                    <w:jc w:val="center"/>
                    <w:rPr>
                      <w:b/>
                      <w:bCs/>
                      <w:sz w:val="20"/>
                      <w:szCs w:val="20"/>
                    </w:rPr>
                  </w:pPr>
                  <w:sdt>
                    <w:sdtPr>
                      <w:rPr>
                        <w:b/>
                        <w:bCs/>
                        <w:sz w:val="20"/>
                        <w:szCs w:val="20"/>
                      </w:rPr>
                      <w:id w:val="-1556693475"/>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5AF0BE9B" w14:textId="77777777" w:rsidR="00EF6046" w:rsidRPr="00ED64CA" w:rsidRDefault="008530DA" w:rsidP="00EF6046">
                  <w:pPr>
                    <w:spacing w:before="40" w:after="40"/>
                    <w:jc w:val="center"/>
                    <w:rPr>
                      <w:b/>
                      <w:bCs/>
                      <w:sz w:val="20"/>
                      <w:szCs w:val="20"/>
                    </w:rPr>
                  </w:pPr>
                  <w:sdt>
                    <w:sdtPr>
                      <w:rPr>
                        <w:b/>
                        <w:bCs/>
                        <w:sz w:val="20"/>
                        <w:szCs w:val="20"/>
                      </w:rPr>
                      <w:id w:val="-1095165379"/>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60CD1400" w14:textId="77777777" w:rsidR="00EF6046" w:rsidRPr="00ED64CA" w:rsidRDefault="008530DA" w:rsidP="00EF6046">
                  <w:pPr>
                    <w:spacing w:before="40" w:after="40"/>
                    <w:jc w:val="center"/>
                    <w:rPr>
                      <w:b/>
                      <w:bCs/>
                      <w:sz w:val="20"/>
                      <w:szCs w:val="20"/>
                    </w:rPr>
                  </w:pPr>
                  <w:sdt>
                    <w:sdtPr>
                      <w:rPr>
                        <w:b/>
                        <w:bCs/>
                        <w:sz w:val="20"/>
                        <w:szCs w:val="20"/>
                      </w:rPr>
                      <w:id w:val="-423572484"/>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36854015" w14:textId="77777777" w:rsidR="00EF6046" w:rsidRPr="00ED64CA" w:rsidRDefault="008530DA" w:rsidP="00EF6046">
                  <w:pPr>
                    <w:spacing w:before="40" w:after="40"/>
                    <w:jc w:val="center"/>
                    <w:rPr>
                      <w:b/>
                      <w:bCs/>
                      <w:sz w:val="20"/>
                      <w:szCs w:val="20"/>
                    </w:rPr>
                  </w:pPr>
                  <w:sdt>
                    <w:sdtPr>
                      <w:rPr>
                        <w:b/>
                        <w:bCs/>
                        <w:sz w:val="20"/>
                        <w:szCs w:val="20"/>
                      </w:rPr>
                      <w:id w:val="-54162151"/>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7586F576" w14:textId="5583A3DB" w:rsidR="00EF6046" w:rsidRDefault="00EF6046" w:rsidP="0094375D">
            <w:pPr>
              <w:spacing w:beforeLines="40" w:before="96" w:afterLines="40" w:after="96"/>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6898DF71" w14:textId="77777777" w:rsidTr="00497913">
              <w:tc>
                <w:tcPr>
                  <w:tcW w:w="652" w:type="dxa"/>
                </w:tcPr>
                <w:p w14:paraId="45F3975E" w14:textId="77777777" w:rsidR="00EF6046" w:rsidRPr="00ED64CA" w:rsidRDefault="008530DA" w:rsidP="00EF6046">
                  <w:pPr>
                    <w:spacing w:before="40" w:after="40"/>
                    <w:jc w:val="center"/>
                    <w:rPr>
                      <w:b/>
                      <w:bCs/>
                      <w:sz w:val="20"/>
                      <w:szCs w:val="20"/>
                    </w:rPr>
                  </w:pPr>
                  <w:sdt>
                    <w:sdtPr>
                      <w:rPr>
                        <w:b/>
                        <w:bCs/>
                        <w:sz w:val="20"/>
                        <w:szCs w:val="20"/>
                      </w:rPr>
                      <w:id w:val="1738440984"/>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2D02D8A0" w14:textId="77777777" w:rsidR="00EF6046" w:rsidRPr="00ED64CA" w:rsidRDefault="008530DA" w:rsidP="00EF6046">
                  <w:pPr>
                    <w:spacing w:before="40" w:after="40"/>
                    <w:jc w:val="center"/>
                    <w:rPr>
                      <w:b/>
                      <w:bCs/>
                      <w:sz w:val="20"/>
                      <w:szCs w:val="20"/>
                    </w:rPr>
                  </w:pPr>
                  <w:sdt>
                    <w:sdtPr>
                      <w:rPr>
                        <w:b/>
                        <w:bCs/>
                        <w:sz w:val="20"/>
                        <w:szCs w:val="20"/>
                      </w:rPr>
                      <w:id w:val="-553007772"/>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613D460B" w14:textId="77777777" w:rsidR="00EF6046" w:rsidRPr="00ED64CA" w:rsidRDefault="008530DA" w:rsidP="00EF6046">
                  <w:pPr>
                    <w:spacing w:before="40" w:after="40"/>
                    <w:jc w:val="center"/>
                    <w:rPr>
                      <w:b/>
                      <w:bCs/>
                      <w:sz w:val="20"/>
                      <w:szCs w:val="20"/>
                    </w:rPr>
                  </w:pPr>
                  <w:sdt>
                    <w:sdtPr>
                      <w:rPr>
                        <w:b/>
                        <w:bCs/>
                        <w:sz w:val="20"/>
                        <w:szCs w:val="20"/>
                      </w:rPr>
                      <w:id w:val="-272481739"/>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06B4FE9F" w14:textId="77777777" w:rsidR="00EF6046" w:rsidRPr="00ED64CA" w:rsidRDefault="008530DA" w:rsidP="00EF6046">
                  <w:pPr>
                    <w:spacing w:before="40" w:after="40"/>
                    <w:jc w:val="center"/>
                    <w:rPr>
                      <w:b/>
                      <w:bCs/>
                      <w:sz w:val="20"/>
                      <w:szCs w:val="20"/>
                    </w:rPr>
                  </w:pPr>
                  <w:sdt>
                    <w:sdtPr>
                      <w:rPr>
                        <w:b/>
                        <w:bCs/>
                        <w:sz w:val="20"/>
                        <w:szCs w:val="20"/>
                      </w:rPr>
                      <w:id w:val="1134288180"/>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3631E94B" w14:textId="6907597D" w:rsidR="00EF6046" w:rsidRDefault="00EF6046" w:rsidP="0094375D">
            <w:pPr>
              <w:spacing w:beforeLines="40" w:before="96" w:afterLines="40" w:after="96"/>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244E809F" w14:textId="77777777" w:rsidTr="00497913">
              <w:tc>
                <w:tcPr>
                  <w:tcW w:w="652" w:type="dxa"/>
                </w:tcPr>
                <w:p w14:paraId="49861C9B" w14:textId="77777777" w:rsidR="00EF6046" w:rsidRPr="00ED64CA" w:rsidRDefault="008530DA" w:rsidP="00EF6046">
                  <w:pPr>
                    <w:spacing w:before="40" w:after="40"/>
                    <w:jc w:val="center"/>
                    <w:rPr>
                      <w:b/>
                      <w:bCs/>
                      <w:sz w:val="20"/>
                      <w:szCs w:val="20"/>
                    </w:rPr>
                  </w:pPr>
                  <w:sdt>
                    <w:sdtPr>
                      <w:rPr>
                        <w:b/>
                        <w:bCs/>
                        <w:sz w:val="20"/>
                        <w:szCs w:val="20"/>
                      </w:rPr>
                      <w:id w:val="1667053532"/>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39042FF7" w14:textId="77777777" w:rsidR="00EF6046" w:rsidRPr="00ED64CA" w:rsidRDefault="008530DA" w:rsidP="00EF6046">
                  <w:pPr>
                    <w:spacing w:before="40" w:after="40"/>
                    <w:jc w:val="center"/>
                    <w:rPr>
                      <w:b/>
                      <w:bCs/>
                      <w:sz w:val="20"/>
                      <w:szCs w:val="20"/>
                    </w:rPr>
                  </w:pPr>
                  <w:sdt>
                    <w:sdtPr>
                      <w:rPr>
                        <w:b/>
                        <w:bCs/>
                        <w:sz w:val="20"/>
                        <w:szCs w:val="20"/>
                      </w:rPr>
                      <w:id w:val="1073246479"/>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70B0DF69" w14:textId="77777777" w:rsidR="00EF6046" w:rsidRPr="00ED64CA" w:rsidRDefault="008530DA" w:rsidP="00EF6046">
                  <w:pPr>
                    <w:spacing w:before="40" w:after="40"/>
                    <w:jc w:val="center"/>
                    <w:rPr>
                      <w:b/>
                      <w:bCs/>
                      <w:sz w:val="20"/>
                      <w:szCs w:val="20"/>
                    </w:rPr>
                  </w:pPr>
                  <w:sdt>
                    <w:sdtPr>
                      <w:rPr>
                        <w:b/>
                        <w:bCs/>
                        <w:sz w:val="20"/>
                        <w:szCs w:val="20"/>
                      </w:rPr>
                      <w:id w:val="-1515371700"/>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4C77A053" w14:textId="77777777" w:rsidR="00EF6046" w:rsidRPr="00ED64CA" w:rsidRDefault="008530DA" w:rsidP="00EF6046">
                  <w:pPr>
                    <w:spacing w:before="40" w:after="40"/>
                    <w:jc w:val="center"/>
                    <w:rPr>
                      <w:b/>
                      <w:bCs/>
                      <w:sz w:val="20"/>
                      <w:szCs w:val="20"/>
                    </w:rPr>
                  </w:pPr>
                  <w:sdt>
                    <w:sdtPr>
                      <w:rPr>
                        <w:b/>
                        <w:bCs/>
                        <w:sz w:val="20"/>
                        <w:szCs w:val="20"/>
                      </w:rPr>
                      <w:id w:val="191193304"/>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5A0100BA" w14:textId="72A91FE3" w:rsidR="00EF6046" w:rsidRPr="00EF6046" w:rsidRDefault="00EF6046" w:rsidP="0094375D">
            <w:pPr>
              <w:spacing w:beforeLines="40" w:before="96"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2F1B3A61" w14:textId="77777777" w:rsidTr="00497913">
              <w:tc>
                <w:tcPr>
                  <w:tcW w:w="652" w:type="dxa"/>
                </w:tcPr>
                <w:p w14:paraId="39D3A1B9" w14:textId="77777777" w:rsidR="00EF6046" w:rsidRPr="00ED64CA" w:rsidRDefault="008530DA" w:rsidP="00EF6046">
                  <w:pPr>
                    <w:spacing w:before="40" w:after="40"/>
                    <w:jc w:val="center"/>
                    <w:rPr>
                      <w:b/>
                      <w:bCs/>
                      <w:sz w:val="20"/>
                      <w:szCs w:val="20"/>
                    </w:rPr>
                  </w:pPr>
                  <w:sdt>
                    <w:sdtPr>
                      <w:rPr>
                        <w:b/>
                        <w:bCs/>
                        <w:sz w:val="20"/>
                        <w:szCs w:val="20"/>
                      </w:rPr>
                      <w:id w:val="-305700099"/>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06F003B0" w14:textId="77777777" w:rsidR="00EF6046" w:rsidRPr="00ED64CA" w:rsidRDefault="008530DA" w:rsidP="00EF6046">
                  <w:pPr>
                    <w:spacing w:before="40" w:after="40"/>
                    <w:jc w:val="center"/>
                    <w:rPr>
                      <w:b/>
                      <w:bCs/>
                      <w:sz w:val="20"/>
                      <w:szCs w:val="20"/>
                    </w:rPr>
                  </w:pPr>
                  <w:sdt>
                    <w:sdtPr>
                      <w:rPr>
                        <w:b/>
                        <w:bCs/>
                        <w:sz w:val="20"/>
                        <w:szCs w:val="20"/>
                      </w:rPr>
                      <w:id w:val="-558942024"/>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40CA235F" w14:textId="77777777" w:rsidR="00EF6046" w:rsidRPr="00ED64CA" w:rsidRDefault="008530DA" w:rsidP="00EF6046">
                  <w:pPr>
                    <w:spacing w:before="40" w:after="40"/>
                    <w:jc w:val="center"/>
                    <w:rPr>
                      <w:b/>
                      <w:bCs/>
                      <w:sz w:val="20"/>
                      <w:szCs w:val="20"/>
                    </w:rPr>
                  </w:pPr>
                  <w:sdt>
                    <w:sdtPr>
                      <w:rPr>
                        <w:b/>
                        <w:bCs/>
                        <w:sz w:val="20"/>
                        <w:szCs w:val="20"/>
                      </w:rPr>
                      <w:id w:val="1199516006"/>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25BBC257" w14:textId="77777777" w:rsidR="00EF6046" w:rsidRPr="00ED64CA" w:rsidRDefault="008530DA" w:rsidP="00EF6046">
                  <w:pPr>
                    <w:spacing w:before="40" w:after="40"/>
                    <w:jc w:val="center"/>
                    <w:rPr>
                      <w:b/>
                      <w:bCs/>
                      <w:sz w:val="20"/>
                      <w:szCs w:val="20"/>
                    </w:rPr>
                  </w:pPr>
                  <w:sdt>
                    <w:sdtPr>
                      <w:rPr>
                        <w:b/>
                        <w:bCs/>
                        <w:sz w:val="20"/>
                        <w:szCs w:val="20"/>
                      </w:rPr>
                      <w:id w:val="-2015452544"/>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5D393648" w14:textId="0D99C3CD" w:rsidR="00EF6046" w:rsidRDefault="00EF6046" w:rsidP="00FA1401">
            <w:pPr>
              <w:spacing w:beforeLines="100" w:before="240"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6604D1EF" w14:textId="77777777" w:rsidTr="00497913">
              <w:tc>
                <w:tcPr>
                  <w:tcW w:w="652" w:type="dxa"/>
                </w:tcPr>
                <w:p w14:paraId="3BD2C280" w14:textId="77777777" w:rsidR="00EF6046" w:rsidRPr="00ED64CA" w:rsidRDefault="008530DA" w:rsidP="00EF6046">
                  <w:pPr>
                    <w:spacing w:before="40" w:after="40"/>
                    <w:jc w:val="center"/>
                    <w:rPr>
                      <w:b/>
                      <w:bCs/>
                      <w:sz w:val="20"/>
                      <w:szCs w:val="20"/>
                    </w:rPr>
                  </w:pPr>
                  <w:sdt>
                    <w:sdtPr>
                      <w:rPr>
                        <w:b/>
                        <w:bCs/>
                        <w:sz w:val="20"/>
                        <w:szCs w:val="20"/>
                      </w:rPr>
                      <w:id w:val="-262921483"/>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1F7C8351" w14:textId="77777777" w:rsidR="00EF6046" w:rsidRPr="00ED64CA" w:rsidRDefault="008530DA" w:rsidP="00EF6046">
                  <w:pPr>
                    <w:spacing w:before="40" w:after="40"/>
                    <w:jc w:val="center"/>
                    <w:rPr>
                      <w:b/>
                      <w:bCs/>
                      <w:sz w:val="20"/>
                      <w:szCs w:val="20"/>
                    </w:rPr>
                  </w:pPr>
                  <w:sdt>
                    <w:sdtPr>
                      <w:rPr>
                        <w:b/>
                        <w:bCs/>
                        <w:sz w:val="20"/>
                        <w:szCs w:val="20"/>
                      </w:rPr>
                      <w:id w:val="1505085297"/>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06C6739A" w14:textId="77777777" w:rsidR="00EF6046" w:rsidRPr="00ED64CA" w:rsidRDefault="008530DA" w:rsidP="00EF6046">
                  <w:pPr>
                    <w:spacing w:before="40" w:after="40"/>
                    <w:jc w:val="center"/>
                    <w:rPr>
                      <w:b/>
                      <w:bCs/>
                      <w:sz w:val="20"/>
                      <w:szCs w:val="20"/>
                    </w:rPr>
                  </w:pPr>
                  <w:sdt>
                    <w:sdtPr>
                      <w:rPr>
                        <w:b/>
                        <w:bCs/>
                        <w:sz w:val="20"/>
                        <w:szCs w:val="20"/>
                      </w:rPr>
                      <w:id w:val="-1287269787"/>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064D7EC4" w14:textId="77777777" w:rsidR="00EF6046" w:rsidRPr="00ED64CA" w:rsidRDefault="008530DA" w:rsidP="00EF6046">
                  <w:pPr>
                    <w:spacing w:before="40" w:after="40"/>
                    <w:jc w:val="center"/>
                    <w:rPr>
                      <w:b/>
                      <w:bCs/>
                      <w:sz w:val="20"/>
                      <w:szCs w:val="20"/>
                    </w:rPr>
                  </w:pPr>
                  <w:sdt>
                    <w:sdtPr>
                      <w:rPr>
                        <w:b/>
                        <w:bCs/>
                        <w:sz w:val="20"/>
                        <w:szCs w:val="20"/>
                      </w:rPr>
                      <w:id w:val="-1000963698"/>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5FA2808D" w14:textId="61F6A885" w:rsidR="00EF6046" w:rsidRDefault="00EF6046" w:rsidP="0094375D">
            <w:pPr>
              <w:spacing w:beforeLines="40" w:before="96"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EF6046" w:rsidRPr="00ED64CA" w14:paraId="2610F61F" w14:textId="77777777" w:rsidTr="00497913">
              <w:tc>
                <w:tcPr>
                  <w:tcW w:w="652" w:type="dxa"/>
                </w:tcPr>
                <w:p w14:paraId="23CF17F2" w14:textId="77777777" w:rsidR="00EF6046" w:rsidRPr="00ED64CA" w:rsidRDefault="008530DA" w:rsidP="00EF6046">
                  <w:pPr>
                    <w:spacing w:before="40" w:after="40"/>
                    <w:jc w:val="center"/>
                    <w:rPr>
                      <w:b/>
                      <w:bCs/>
                      <w:sz w:val="20"/>
                      <w:szCs w:val="20"/>
                    </w:rPr>
                  </w:pPr>
                  <w:sdt>
                    <w:sdtPr>
                      <w:rPr>
                        <w:b/>
                        <w:bCs/>
                        <w:sz w:val="20"/>
                        <w:szCs w:val="20"/>
                      </w:rPr>
                      <w:id w:val="1749453654"/>
                      <w14:checkbox>
                        <w14:checked w14:val="0"/>
                        <w14:checkedState w14:val="2612" w14:font="MS Gothic"/>
                        <w14:uncheckedState w14:val="2610" w14:font="MS Gothic"/>
                      </w14:checkbox>
                    </w:sdtPr>
                    <w:sdtContent>
                      <w:r w:rsidR="00EF6046">
                        <w:rPr>
                          <w:rFonts w:ascii="MS Gothic" w:eastAsia="MS Gothic" w:hAnsi="MS Gothic" w:hint="eastAsia"/>
                          <w:b/>
                          <w:bCs/>
                          <w:sz w:val="20"/>
                          <w:szCs w:val="20"/>
                        </w:rPr>
                        <w:t>☐</w:t>
                      </w:r>
                    </w:sdtContent>
                  </w:sdt>
                  <w:r w:rsidR="00EF6046" w:rsidRPr="00ED64CA">
                    <w:rPr>
                      <w:b/>
                      <w:bCs/>
                      <w:sz w:val="20"/>
                      <w:szCs w:val="20"/>
                    </w:rPr>
                    <w:t>1</w:t>
                  </w:r>
                </w:p>
              </w:tc>
              <w:tc>
                <w:tcPr>
                  <w:tcW w:w="652" w:type="dxa"/>
                </w:tcPr>
                <w:p w14:paraId="5AD6754E" w14:textId="77777777" w:rsidR="00EF6046" w:rsidRPr="00ED64CA" w:rsidRDefault="008530DA" w:rsidP="00EF6046">
                  <w:pPr>
                    <w:spacing w:before="40" w:after="40"/>
                    <w:jc w:val="center"/>
                    <w:rPr>
                      <w:b/>
                      <w:bCs/>
                      <w:sz w:val="20"/>
                      <w:szCs w:val="20"/>
                    </w:rPr>
                  </w:pPr>
                  <w:sdt>
                    <w:sdtPr>
                      <w:rPr>
                        <w:b/>
                        <w:bCs/>
                        <w:sz w:val="20"/>
                        <w:szCs w:val="20"/>
                      </w:rPr>
                      <w:id w:val="-1097855257"/>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2</w:t>
                  </w:r>
                </w:p>
              </w:tc>
              <w:tc>
                <w:tcPr>
                  <w:tcW w:w="652" w:type="dxa"/>
                </w:tcPr>
                <w:p w14:paraId="705F1BBB" w14:textId="77777777" w:rsidR="00EF6046" w:rsidRPr="00ED64CA" w:rsidRDefault="008530DA" w:rsidP="00EF6046">
                  <w:pPr>
                    <w:spacing w:before="40" w:after="40"/>
                    <w:jc w:val="center"/>
                    <w:rPr>
                      <w:b/>
                      <w:bCs/>
                      <w:sz w:val="20"/>
                      <w:szCs w:val="20"/>
                    </w:rPr>
                  </w:pPr>
                  <w:sdt>
                    <w:sdtPr>
                      <w:rPr>
                        <w:b/>
                        <w:bCs/>
                        <w:sz w:val="20"/>
                        <w:szCs w:val="20"/>
                      </w:rPr>
                      <w:id w:val="291571582"/>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3</w:t>
                  </w:r>
                </w:p>
              </w:tc>
              <w:tc>
                <w:tcPr>
                  <w:tcW w:w="653" w:type="dxa"/>
                </w:tcPr>
                <w:p w14:paraId="0BB7D271" w14:textId="77777777" w:rsidR="00EF6046" w:rsidRPr="00ED64CA" w:rsidRDefault="008530DA" w:rsidP="00EF6046">
                  <w:pPr>
                    <w:spacing w:before="40" w:after="40"/>
                    <w:jc w:val="center"/>
                    <w:rPr>
                      <w:b/>
                      <w:bCs/>
                      <w:sz w:val="20"/>
                      <w:szCs w:val="20"/>
                    </w:rPr>
                  </w:pPr>
                  <w:sdt>
                    <w:sdtPr>
                      <w:rPr>
                        <w:b/>
                        <w:bCs/>
                        <w:sz w:val="20"/>
                        <w:szCs w:val="20"/>
                      </w:rPr>
                      <w:id w:val="-1481760993"/>
                      <w14:checkbox>
                        <w14:checked w14:val="0"/>
                        <w14:checkedState w14:val="2612" w14:font="MS Gothic"/>
                        <w14:uncheckedState w14:val="2610" w14:font="MS Gothic"/>
                      </w14:checkbox>
                    </w:sdtPr>
                    <w:sdtContent>
                      <w:r w:rsidR="00EF6046" w:rsidRPr="00ED64CA">
                        <w:rPr>
                          <w:rFonts w:ascii="MS Gothic" w:eastAsia="MS Gothic" w:hAnsi="MS Gothic" w:hint="eastAsia"/>
                          <w:b/>
                          <w:bCs/>
                          <w:sz w:val="20"/>
                          <w:szCs w:val="20"/>
                        </w:rPr>
                        <w:t>☐</w:t>
                      </w:r>
                    </w:sdtContent>
                  </w:sdt>
                  <w:r w:rsidR="00EF6046" w:rsidRPr="00ED64CA">
                    <w:rPr>
                      <w:b/>
                      <w:bCs/>
                      <w:sz w:val="20"/>
                      <w:szCs w:val="20"/>
                    </w:rPr>
                    <w:t>4</w:t>
                  </w:r>
                </w:p>
              </w:tc>
            </w:tr>
          </w:tbl>
          <w:p w14:paraId="5E45A7CE" w14:textId="77777777" w:rsidR="00EF6046" w:rsidRDefault="00EF6046" w:rsidP="00EF6046">
            <w:pPr>
              <w:spacing w:beforeLines="40" w:before="96" w:afterLines="40" w:after="96"/>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835281" w:rsidRPr="00ED64CA" w14:paraId="273B8BBD" w14:textId="77777777" w:rsidTr="008530DA">
              <w:tc>
                <w:tcPr>
                  <w:tcW w:w="652" w:type="dxa"/>
                </w:tcPr>
                <w:p w14:paraId="314372A9" w14:textId="77777777" w:rsidR="00835281" w:rsidRPr="00ED64CA" w:rsidRDefault="008530DA" w:rsidP="00835281">
                  <w:pPr>
                    <w:spacing w:before="40" w:after="40"/>
                    <w:jc w:val="center"/>
                    <w:rPr>
                      <w:b/>
                      <w:bCs/>
                      <w:sz w:val="20"/>
                      <w:szCs w:val="20"/>
                    </w:rPr>
                  </w:pPr>
                  <w:sdt>
                    <w:sdtPr>
                      <w:rPr>
                        <w:b/>
                        <w:bCs/>
                        <w:sz w:val="20"/>
                        <w:szCs w:val="20"/>
                      </w:rPr>
                      <w:id w:val="-408772881"/>
                      <w14:checkbox>
                        <w14:checked w14:val="0"/>
                        <w14:checkedState w14:val="2612" w14:font="MS Gothic"/>
                        <w14:uncheckedState w14:val="2610" w14:font="MS Gothic"/>
                      </w14:checkbox>
                    </w:sdtPr>
                    <w:sdtContent>
                      <w:r w:rsidR="00835281">
                        <w:rPr>
                          <w:rFonts w:ascii="MS Gothic" w:eastAsia="MS Gothic" w:hAnsi="MS Gothic" w:hint="eastAsia"/>
                          <w:b/>
                          <w:bCs/>
                          <w:sz w:val="20"/>
                          <w:szCs w:val="20"/>
                        </w:rPr>
                        <w:t>☐</w:t>
                      </w:r>
                    </w:sdtContent>
                  </w:sdt>
                  <w:r w:rsidR="00835281" w:rsidRPr="00ED64CA">
                    <w:rPr>
                      <w:b/>
                      <w:bCs/>
                      <w:sz w:val="20"/>
                      <w:szCs w:val="20"/>
                    </w:rPr>
                    <w:t>1</w:t>
                  </w:r>
                </w:p>
              </w:tc>
              <w:tc>
                <w:tcPr>
                  <w:tcW w:w="652" w:type="dxa"/>
                </w:tcPr>
                <w:p w14:paraId="03929BA9" w14:textId="77777777" w:rsidR="00835281" w:rsidRPr="00ED64CA" w:rsidRDefault="008530DA" w:rsidP="00835281">
                  <w:pPr>
                    <w:spacing w:before="40" w:after="40"/>
                    <w:jc w:val="center"/>
                    <w:rPr>
                      <w:b/>
                      <w:bCs/>
                      <w:sz w:val="20"/>
                      <w:szCs w:val="20"/>
                    </w:rPr>
                  </w:pPr>
                  <w:sdt>
                    <w:sdtPr>
                      <w:rPr>
                        <w:b/>
                        <w:bCs/>
                        <w:sz w:val="20"/>
                        <w:szCs w:val="20"/>
                      </w:rPr>
                      <w:id w:val="-1555466639"/>
                      <w14:checkbox>
                        <w14:checked w14:val="0"/>
                        <w14:checkedState w14:val="2612" w14:font="MS Gothic"/>
                        <w14:uncheckedState w14:val="2610" w14:font="MS Gothic"/>
                      </w14:checkbox>
                    </w:sdtPr>
                    <w:sdtContent>
                      <w:r w:rsidR="00835281" w:rsidRPr="00ED64CA">
                        <w:rPr>
                          <w:rFonts w:ascii="MS Gothic" w:eastAsia="MS Gothic" w:hAnsi="MS Gothic" w:hint="eastAsia"/>
                          <w:b/>
                          <w:bCs/>
                          <w:sz w:val="20"/>
                          <w:szCs w:val="20"/>
                        </w:rPr>
                        <w:t>☐</w:t>
                      </w:r>
                    </w:sdtContent>
                  </w:sdt>
                  <w:r w:rsidR="00835281" w:rsidRPr="00ED64CA">
                    <w:rPr>
                      <w:b/>
                      <w:bCs/>
                      <w:sz w:val="20"/>
                      <w:szCs w:val="20"/>
                    </w:rPr>
                    <w:t>2</w:t>
                  </w:r>
                </w:p>
              </w:tc>
              <w:tc>
                <w:tcPr>
                  <w:tcW w:w="652" w:type="dxa"/>
                </w:tcPr>
                <w:p w14:paraId="2A6A42D7" w14:textId="77777777" w:rsidR="00835281" w:rsidRPr="00ED64CA" w:rsidRDefault="008530DA" w:rsidP="00835281">
                  <w:pPr>
                    <w:spacing w:before="40" w:after="40"/>
                    <w:jc w:val="center"/>
                    <w:rPr>
                      <w:b/>
                      <w:bCs/>
                      <w:sz w:val="20"/>
                      <w:szCs w:val="20"/>
                    </w:rPr>
                  </w:pPr>
                  <w:sdt>
                    <w:sdtPr>
                      <w:rPr>
                        <w:b/>
                        <w:bCs/>
                        <w:sz w:val="20"/>
                        <w:szCs w:val="20"/>
                      </w:rPr>
                      <w:id w:val="798263846"/>
                      <w14:checkbox>
                        <w14:checked w14:val="0"/>
                        <w14:checkedState w14:val="2612" w14:font="MS Gothic"/>
                        <w14:uncheckedState w14:val="2610" w14:font="MS Gothic"/>
                      </w14:checkbox>
                    </w:sdtPr>
                    <w:sdtContent>
                      <w:r w:rsidR="00835281" w:rsidRPr="00ED64CA">
                        <w:rPr>
                          <w:rFonts w:ascii="MS Gothic" w:eastAsia="MS Gothic" w:hAnsi="MS Gothic" w:hint="eastAsia"/>
                          <w:b/>
                          <w:bCs/>
                          <w:sz w:val="20"/>
                          <w:szCs w:val="20"/>
                        </w:rPr>
                        <w:t>☐</w:t>
                      </w:r>
                    </w:sdtContent>
                  </w:sdt>
                  <w:r w:rsidR="00835281" w:rsidRPr="00ED64CA">
                    <w:rPr>
                      <w:b/>
                      <w:bCs/>
                      <w:sz w:val="20"/>
                      <w:szCs w:val="20"/>
                    </w:rPr>
                    <w:t>3</w:t>
                  </w:r>
                </w:p>
              </w:tc>
              <w:tc>
                <w:tcPr>
                  <w:tcW w:w="653" w:type="dxa"/>
                </w:tcPr>
                <w:p w14:paraId="4992FE88" w14:textId="77777777" w:rsidR="00835281" w:rsidRPr="00ED64CA" w:rsidRDefault="008530DA" w:rsidP="00835281">
                  <w:pPr>
                    <w:spacing w:before="40" w:after="40"/>
                    <w:jc w:val="center"/>
                    <w:rPr>
                      <w:b/>
                      <w:bCs/>
                      <w:sz w:val="20"/>
                      <w:szCs w:val="20"/>
                    </w:rPr>
                  </w:pPr>
                  <w:sdt>
                    <w:sdtPr>
                      <w:rPr>
                        <w:b/>
                        <w:bCs/>
                        <w:sz w:val="20"/>
                        <w:szCs w:val="20"/>
                      </w:rPr>
                      <w:id w:val="882826306"/>
                      <w14:checkbox>
                        <w14:checked w14:val="0"/>
                        <w14:checkedState w14:val="2612" w14:font="MS Gothic"/>
                        <w14:uncheckedState w14:val="2610" w14:font="MS Gothic"/>
                      </w14:checkbox>
                    </w:sdtPr>
                    <w:sdtContent>
                      <w:r w:rsidR="00835281" w:rsidRPr="00ED64CA">
                        <w:rPr>
                          <w:rFonts w:ascii="MS Gothic" w:eastAsia="MS Gothic" w:hAnsi="MS Gothic" w:hint="eastAsia"/>
                          <w:b/>
                          <w:bCs/>
                          <w:sz w:val="20"/>
                          <w:szCs w:val="20"/>
                        </w:rPr>
                        <w:t>☐</w:t>
                      </w:r>
                    </w:sdtContent>
                  </w:sdt>
                  <w:r w:rsidR="00835281" w:rsidRPr="00ED64CA">
                    <w:rPr>
                      <w:b/>
                      <w:bCs/>
                      <w:sz w:val="20"/>
                      <w:szCs w:val="20"/>
                    </w:rPr>
                    <w:t>4</w:t>
                  </w:r>
                </w:p>
              </w:tc>
            </w:tr>
          </w:tbl>
          <w:p w14:paraId="3845F7B5" w14:textId="6BE228D7" w:rsidR="00835281" w:rsidRDefault="00835281" w:rsidP="00EF6046">
            <w:pPr>
              <w:spacing w:beforeLines="40" w:before="96" w:afterLines="40" w:after="96"/>
              <w:rPr>
                <w:b/>
                <w:sz w:val="20"/>
                <w:szCs w:val="20"/>
              </w:rPr>
            </w:pPr>
          </w:p>
        </w:tc>
      </w:tr>
      <w:tr w:rsidR="0094375D" w14:paraId="417737FD" w14:textId="77777777" w:rsidTr="00497913">
        <w:tc>
          <w:tcPr>
            <w:tcW w:w="3258" w:type="dxa"/>
            <w:tcBorders>
              <w:top w:val="single" w:sz="8" w:space="0" w:color="auto"/>
              <w:left w:val="single" w:sz="8" w:space="0" w:color="auto"/>
              <w:bottom w:val="single" w:sz="8" w:space="0" w:color="auto"/>
              <w:right w:val="single" w:sz="8" w:space="0" w:color="auto"/>
            </w:tcBorders>
            <w:shd w:val="clear" w:color="auto" w:fill="EEECE1" w:themeFill="background2"/>
          </w:tcPr>
          <w:p w14:paraId="5BE76058" w14:textId="529D3230" w:rsidR="0094375D" w:rsidRPr="0094375D" w:rsidRDefault="0094375D" w:rsidP="0094375D">
            <w:pPr>
              <w:spacing w:beforeLines="40" w:before="96" w:afterLines="40" w:after="96"/>
              <w:ind w:left="360" w:hanging="317"/>
              <w:rPr>
                <w:bCs/>
                <w:sz w:val="18"/>
                <w:szCs w:val="18"/>
              </w:rPr>
            </w:pPr>
            <w:r>
              <w:rPr>
                <w:b/>
                <w:sz w:val="18"/>
                <w:szCs w:val="18"/>
              </w:rPr>
              <w:lastRenderedPageBreak/>
              <w:t>2c.  Provide equitable access to WBL to all students:</w:t>
            </w:r>
            <w:r>
              <w:rPr>
                <w:bCs/>
                <w:sz w:val="18"/>
                <w:szCs w:val="18"/>
              </w:rPr>
              <w:t xml:space="preserve"> Policies and strategies are established and leveraged to enable </w:t>
            </w:r>
            <w:r>
              <w:rPr>
                <w:b/>
                <w:sz w:val="18"/>
                <w:szCs w:val="18"/>
                <w:u w:val="single"/>
              </w:rPr>
              <w:t>each</w:t>
            </w:r>
            <w:r>
              <w:rPr>
                <w:bCs/>
                <w:sz w:val="18"/>
                <w:szCs w:val="18"/>
              </w:rPr>
              <w:t xml:space="preserve"> pathways student to participate in </w:t>
            </w:r>
            <w:proofErr w:type="gramStart"/>
            <w:r>
              <w:rPr>
                <w:bCs/>
                <w:sz w:val="18"/>
                <w:szCs w:val="18"/>
              </w:rPr>
              <w:t>industry-aligned</w:t>
            </w:r>
            <w:proofErr w:type="gramEnd"/>
            <w:r>
              <w:rPr>
                <w:bCs/>
                <w:sz w:val="18"/>
                <w:szCs w:val="18"/>
              </w:rPr>
              <w:t xml:space="preserve"> WBL that is connected with classroom learning.</w:t>
            </w:r>
          </w:p>
        </w:tc>
        <w:tc>
          <w:tcPr>
            <w:tcW w:w="8505" w:type="dxa"/>
            <w:tcBorders>
              <w:top w:val="single" w:sz="8" w:space="0" w:color="auto"/>
              <w:left w:val="single" w:sz="8" w:space="0" w:color="auto"/>
              <w:bottom w:val="single" w:sz="8" w:space="0" w:color="auto"/>
              <w:right w:val="single" w:sz="8" w:space="0" w:color="auto"/>
            </w:tcBorders>
            <w:shd w:val="clear" w:color="auto" w:fill="EEECE1" w:themeFill="background2"/>
          </w:tcPr>
          <w:p w14:paraId="47293DD7" w14:textId="77777777" w:rsidR="0094375D" w:rsidRPr="001B5583" w:rsidRDefault="0094375D" w:rsidP="0094375D">
            <w:pPr>
              <w:spacing w:beforeLines="40" w:before="96" w:afterLines="40" w:after="96"/>
              <w:rPr>
                <w:sz w:val="20"/>
                <w:szCs w:val="20"/>
              </w:rPr>
            </w:pPr>
            <w:r w:rsidRPr="001B5583">
              <w:rPr>
                <w:b/>
                <w:sz w:val="20"/>
                <w:szCs w:val="20"/>
              </w:rPr>
              <w:t>Target outcome 2c: Ensure that all students enrolled in pathways have access to industry-aligned, co-curricular WBL experiences</w:t>
            </w:r>
          </w:p>
          <w:p w14:paraId="14364E21" w14:textId="63315D51" w:rsidR="0094375D" w:rsidRPr="004C2C57" w:rsidRDefault="0094375D" w:rsidP="00A44D7D">
            <w:pPr>
              <w:pStyle w:val="ListParagraph"/>
              <w:numPr>
                <w:ilvl w:val="0"/>
                <w:numId w:val="14"/>
              </w:numPr>
              <w:spacing w:beforeLines="40" w:before="96" w:afterLines="40" w:after="96"/>
              <w:ind w:left="405"/>
              <w:rPr>
                <w:sz w:val="18"/>
                <w:szCs w:val="18"/>
              </w:rPr>
            </w:pPr>
            <w:r w:rsidRPr="004C2C57">
              <w:rPr>
                <w:rFonts w:eastAsia="Calibri" w:cs="Calibri"/>
                <w:sz w:val="18"/>
                <w:szCs w:val="18"/>
              </w:rPr>
              <w:t>There is a well-coordinated strategy across the district and its postsecondary partners</w:t>
            </w:r>
            <w:r w:rsidR="00CD42E9">
              <w:rPr>
                <w:rFonts w:eastAsia="Calibri" w:cs="Calibri"/>
                <w:sz w:val="18"/>
                <w:szCs w:val="18"/>
              </w:rPr>
              <w:t xml:space="preserve"> that </w:t>
            </w:r>
            <w:proofErr w:type="gramStart"/>
            <w:r w:rsidR="00CD42E9">
              <w:rPr>
                <w:rFonts w:eastAsia="Calibri" w:cs="Calibri"/>
                <w:sz w:val="18"/>
                <w:szCs w:val="18"/>
              </w:rPr>
              <w:t>takes into account</w:t>
            </w:r>
            <w:proofErr w:type="gramEnd"/>
            <w:r w:rsidR="00CD42E9">
              <w:rPr>
                <w:rFonts w:eastAsia="Calibri" w:cs="Calibri"/>
                <w:sz w:val="18"/>
                <w:szCs w:val="18"/>
              </w:rPr>
              <w:t xml:space="preserve"> the need for more virtual WBL</w:t>
            </w:r>
            <w:r w:rsidRPr="004C2C57">
              <w:rPr>
                <w:rFonts w:eastAsia="Calibri" w:cs="Calibri"/>
                <w:sz w:val="18"/>
                <w:szCs w:val="18"/>
              </w:rPr>
              <w:t xml:space="preserve"> </w:t>
            </w:r>
            <w:r w:rsidR="00CD42E9">
              <w:rPr>
                <w:rFonts w:eastAsia="Calibri" w:cs="Calibri"/>
                <w:sz w:val="18"/>
                <w:szCs w:val="18"/>
              </w:rPr>
              <w:t>to</w:t>
            </w:r>
            <w:r w:rsidRPr="004C2C57">
              <w:rPr>
                <w:rFonts w:eastAsia="Calibri" w:cs="Calibri"/>
                <w:sz w:val="18"/>
                <w:szCs w:val="18"/>
              </w:rPr>
              <w:t xml:space="preserve"> </w:t>
            </w:r>
            <w:r w:rsidR="00CD42E9">
              <w:rPr>
                <w:rFonts w:eastAsia="Calibri" w:cs="Calibri"/>
                <w:sz w:val="18"/>
                <w:szCs w:val="18"/>
              </w:rPr>
              <w:t>expand</w:t>
            </w:r>
            <w:r w:rsidRPr="004C2C57">
              <w:rPr>
                <w:rFonts w:eastAsia="Calibri" w:cs="Calibri"/>
                <w:sz w:val="18"/>
                <w:szCs w:val="18"/>
              </w:rPr>
              <w:t xml:space="preserve"> student access to high-quality</w:t>
            </w:r>
            <w:r w:rsidR="00CD42E9">
              <w:rPr>
                <w:rFonts w:eastAsia="Calibri" w:cs="Calibri"/>
                <w:sz w:val="18"/>
                <w:szCs w:val="18"/>
              </w:rPr>
              <w:t xml:space="preserve"> experiences</w:t>
            </w:r>
            <w:r w:rsidRPr="004C2C57">
              <w:rPr>
                <w:rFonts w:eastAsia="Calibri" w:cs="Calibri"/>
                <w:sz w:val="18"/>
                <w:szCs w:val="18"/>
              </w:rPr>
              <w:t xml:space="preserve"> for all secondary and postsecondary students.</w:t>
            </w:r>
            <w:r w:rsidR="00B24997">
              <w:rPr>
                <w:rFonts w:eastAsia="Calibri" w:cs="Calibri"/>
                <w:sz w:val="18"/>
                <w:szCs w:val="18"/>
              </w:rPr>
              <w:br/>
            </w:r>
          </w:p>
          <w:p w14:paraId="0260067C" w14:textId="298AFD4E" w:rsidR="0094375D" w:rsidRPr="00B8754C" w:rsidRDefault="0094375D" w:rsidP="00A44D7D">
            <w:pPr>
              <w:pStyle w:val="ListParagraph"/>
              <w:numPr>
                <w:ilvl w:val="0"/>
                <w:numId w:val="14"/>
              </w:numPr>
              <w:spacing w:beforeLines="40" w:before="96" w:afterLines="40" w:after="96"/>
              <w:ind w:left="405"/>
              <w:rPr>
                <w:sz w:val="18"/>
                <w:szCs w:val="18"/>
              </w:rPr>
            </w:pPr>
            <w:r>
              <w:rPr>
                <w:rFonts w:eastAsia="Calibri" w:cs="Calibri"/>
                <w:sz w:val="18"/>
                <w:szCs w:val="18"/>
              </w:rPr>
              <w:t xml:space="preserve">The state and/or local district and </w:t>
            </w:r>
            <w:r w:rsidR="004C2C57">
              <w:rPr>
                <w:rFonts w:eastAsia="Calibri" w:cs="Calibri"/>
                <w:sz w:val="18"/>
                <w:szCs w:val="18"/>
              </w:rPr>
              <w:t>postsecondary</w:t>
            </w:r>
            <w:r>
              <w:rPr>
                <w:rFonts w:eastAsia="Calibri" w:cs="Calibri"/>
                <w:sz w:val="18"/>
                <w:szCs w:val="18"/>
              </w:rPr>
              <w:t xml:space="preserve"> education partners have developed resources and distributed them to families and students – especially those underrepresented in high-quality WBL - to raise their awareness and understanding of the value of WBL experiences.</w:t>
            </w:r>
            <w:r w:rsidR="00EF6046">
              <w:rPr>
                <w:rFonts w:eastAsia="Calibri" w:cs="Calibri"/>
                <w:sz w:val="18"/>
                <w:szCs w:val="18"/>
              </w:rPr>
              <w:br/>
            </w:r>
          </w:p>
          <w:p w14:paraId="38E562E4" w14:textId="4BC0A9F6" w:rsidR="0094375D" w:rsidRPr="00B8754C" w:rsidRDefault="0094375D" w:rsidP="00A44D7D">
            <w:pPr>
              <w:pStyle w:val="ListParagraph"/>
              <w:numPr>
                <w:ilvl w:val="0"/>
                <w:numId w:val="14"/>
              </w:numPr>
              <w:spacing w:beforeLines="40" w:before="96" w:afterLines="40" w:after="96"/>
              <w:ind w:left="405"/>
              <w:rPr>
                <w:sz w:val="18"/>
                <w:szCs w:val="18"/>
              </w:rPr>
            </w:pPr>
            <w:r>
              <w:rPr>
                <w:rFonts w:eastAsia="Calibri" w:cs="Calibri"/>
                <w:sz w:val="18"/>
                <w:szCs w:val="18"/>
              </w:rPr>
              <w:t>Low income and students of color have the same opportunity to participate in internships and/or youth apprenticeships as their peers.</w:t>
            </w:r>
            <w:r w:rsidR="00EF6046">
              <w:rPr>
                <w:rFonts w:eastAsia="Calibri" w:cs="Calibri"/>
                <w:sz w:val="18"/>
                <w:szCs w:val="18"/>
              </w:rPr>
              <w:br/>
            </w:r>
          </w:p>
          <w:p w14:paraId="530FA63D" w14:textId="0359C01A" w:rsidR="0094375D" w:rsidRDefault="004C2C57" w:rsidP="00A44D7D">
            <w:pPr>
              <w:pStyle w:val="ListParagraph"/>
              <w:numPr>
                <w:ilvl w:val="0"/>
                <w:numId w:val="14"/>
              </w:numPr>
              <w:spacing w:beforeLines="40" w:before="96" w:afterLines="40" w:after="96"/>
              <w:ind w:left="405"/>
              <w:rPr>
                <w:sz w:val="18"/>
                <w:szCs w:val="18"/>
              </w:rPr>
            </w:pPr>
            <w:r>
              <w:rPr>
                <w:sz w:val="18"/>
                <w:szCs w:val="18"/>
              </w:rPr>
              <w:t>Common b</w:t>
            </w:r>
            <w:r w:rsidR="0094375D">
              <w:rPr>
                <w:sz w:val="18"/>
                <w:szCs w:val="18"/>
              </w:rPr>
              <w:t xml:space="preserve">arriers to student participation/success in WBL –including lack of student transportation and/or preparation – have been identified and </w:t>
            </w:r>
            <w:r>
              <w:rPr>
                <w:sz w:val="18"/>
                <w:szCs w:val="18"/>
              </w:rPr>
              <w:t>removed</w:t>
            </w:r>
            <w:r w:rsidR="0094375D">
              <w:rPr>
                <w:sz w:val="18"/>
                <w:szCs w:val="18"/>
              </w:rPr>
              <w:t>.</w:t>
            </w:r>
            <w:r w:rsidR="00EF6046">
              <w:rPr>
                <w:sz w:val="18"/>
                <w:szCs w:val="18"/>
              </w:rPr>
              <w:br/>
            </w:r>
          </w:p>
          <w:p w14:paraId="1A6941BD" w14:textId="2ABCB5E9" w:rsidR="0094375D" w:rsidRDefault="0094375D" w:rsidP="00A44D7D">
            <w:pPr>
              <w:pStyle w:val="ListParagraph"/>
              <w:numPr>
                <w:ilvl w:val="0"/>
                <w:numId w:val="14"/>
              </w:numPr>
              <w:spacing w:beforeLines="40" w:before="96" w:afterLines="40" w:after="96"/>
              <w:ind w:left="405"/>
              <w:rPr>
                <w:sz w:val="18"/>
                <w:szCs w:val="18"/>
              </w:rPr>
            </w:pPr>
            <w:r>
              <w:rPr>
                <w:sz w:val="18"/>
                <w:szCs w:val="18"/>
              </w:rPr>
              <w:t>Low income and students of color participate in internships and/or youth apprenticeships at similar rates to those of their peers.</w:t>
            </w:r>
            <w:r w:rsidR="00EF6046">
              <w:rPr>
                <w:sz w:val="18"/>
                <w:szCs w:val="18"/>
              </w:rPr>
              <w:br/>
            </w:r>
          </w:p>
          <w:p w14:paraId="5667FDF6" w14:textId="4936B009" w:rsidR="0094375D" w:rsidRPr="0094375D" w:rsidRDefault="0094375D" w:rsidP="00A44D7D">
            <w:pPr>
              <w:pStyle w:val="ListParagraph"/>
              <w:numPr>
                <w:ilvl w:val="0"/>
                <w:numId w:val="14"/>
              </w:numPr>
              <w:spacing w:beforeLines="40" w:before="96" w:afterLines="40" w:after="96"/>
              <w:ind w:left="405"/>
              <w:rPr>
                <w:sz w:val="18"/>
                <w:szCs w:val="18"/>
              </w:rPr>
            </w:pPr>
            <w:r>
              <w:rPr>
                <w:sz w:val="18"/>
                <w:szCs w:val="18"/>
              </w:rPr>
              <w:t>Low income and students of color demonstrate similar rates of skill attainment through internships and/or youth apprenticeships as their peers.</w:t>
            </w:r>
          </w:p>
        </w:tc>
        <w:tc>
          <w:tcPr>
            <w:tcW w:w="2835" w:type="dxa"/>
            <w:tcBorders>
              <w:top w:val="single" w:sz="8" w:space="0" w:color="auto"/>
              <w:left w:val="single" w:sz="8" w:space="0" w:color="auto"/>
              <w:bottom w:val="single" w:sz="8" w:space="0" w:color="auto"/>
              <w:right w:val="single" w:sz="8" w:space="0" w:color="auto"/>
            </w:tcBorders>
            <w:shd w:val="clear" w:color="auto" w:fill="EEECE1" w:themeFill="background2"/>
          </w:tcPr>
          <w:p w14:paraId="503BB150" w14:textId="77777777" w:rsidR="0094375D" w:rsidRPr="009F6C0B" w:rsidRDefault="0094375D" w:rsidP="0094375D">
            <w:pPr>
              <w:spacing w:beforeLines="40" w:before="96" w:afterLines="40" w:after="96"/>
              <w:jc w:val="center"/>
              <w:rPr>
                <w:b/>
                <w:sz w:val="14"/>
                <w:szCs w:val="14"/>
              </w:rPr>
            </w:pPr>
          </w:p>
          <w:p w14:paraId="42DD4295" w14:textId="77777777" w:rsidR="009F6C0B" w:rsidRDefault="009F6C0B" w:rsidP="0094375D">
            <w:pPr>
              <w:spacing w:beforeLines="40" w:before="96" w:afterLines="40" w:after="96"/>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57754926" w14:textId="77777777" w:rsidTr="00497913">
              <w:tc>
                <w:tcPr>
                  <w:tcW w:w="652" w:type="dxa"/>
                </w:tcPr>
                <w:p w14:paraId="6ED1386B" w14:textId="77777777" w:rsidR="009F6C0B" w:rsidRPr="00ED64CA" w:rsidRDefault="008530DA" w:rsidP="009F6C0B">
                  <w:pPr>
                    <w:spacing w:before="40" w:after="40"/>
                    <w:jc w:val="center"/>
                    <w:rPr>
                      <w:b/>
                      <w:bCs/>
                      <w:sz w:val="20"/>
                      <w:szCs w:val="20"/>
                    </w:rPr>
                  </w:pPr>
                  <w:sdt>
                    <w:sdtPr>
                      <w:rPr>
                        <w:b/>
                        <w:bCs/>
                        <w:sz w:val="20"/>
                        <w:szCs w:val="20"/>
                      </w:rPr>
                      <w:id w:val="2057275973"/>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6B6E4BCB" w14:textId="77777777" w:rsidR="009F6C0B" w:rsidRPr="00ED64CA" w:rsidRDefault="008530DA" w:rsidP="009F6C0B">
                  <w:pPr>
                    <w:spacing w:before="40" w:after="40"/>
                    <w:jc w:val="center"/>
                    <w:rPr>
                      <w:b/>
                      <w:bCs/>
                      <w:sz w:val="20"/>
                      <w:szCs w:val="20"/>
                    </w:rPr>
                  </w:pPr>
                  <w:sdt>
                    <w:sdtPr>
                      <w:rPr>
                        <w:b/>
                        <w:bCs/>
                        <w:sz w:val="20"/>
                        <w:szCs w:val="20"/>
                      </w:rPr>
                      <w:id w:val="-564727704"/>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015E8C62" w14:textId="77777777" w:rsidR="009F6C0B" w:rsidRPr="00ED64CA" w:rsidRDefault="008530DA" w:rsidP="009F6C0B">
                  <w:pPr>
                    <w:spacing w:before="40" w:after="40"/>
                    <w:jc w:val="center"/>
                    <w:rPr>
                      <w:b/>
                      <w:bCs/>
                      <w:sz w:val="20"/>
                      <w:szCs w:val="20"/>
                    </w:rPr>
                  </w:pPr>
                  <w:sdt>
                    <w:sdtPr>
                      <w:rPr>
                        <w:b/>
                        <w:bCs/>
                        <w:sz w:val="20"/>
                        <w:szCs w:val="20"/>
                      </w:rPr>
                      <w:id w:val="1137460524"/>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233C32CB" w14:textId="77777777" w:rsidR="009F6C0B" w:rsidRPr="00ED64CA" w:rsidRDefault="008530DA" w:rsidP="009F6C0B">
                  <w:pPr>
                    <w:spacing w:before="40" w:after="40"/>
                    <w:jc w:val="center"/>
                    <w:rPr>
                      <w:b/>
                      <w:bCs/>
                      <w:sz w:val="20"/>
                      <w:szCs w:val="20"/>
                    </w:rPr>
                  </w:pPr>
                  <w:sdt>
                    <w:sdtPr>
                      <w:rPr>
                        <w:b/>
                        <w:bCs/>
                        <w:sz w:val="20"/>
                        <w:szCs w:val="20"/>
                      </w:rPr>
                      <w:id w:val="-266082456"/>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2A833EDB" w14:textId="077D714B" w:rsidR="009F6C0B" w:rsidRDefault="00B24997" w:rsidP="0094375D">
            <w:pPr>
              <w:spacing w:beforeLines="40" w:before="96" w:afterLines="40" w:after="96"/>
              <w:jc w:val="center"/>
              <w:rPr>
                <w:b/>
                <w:sz w:val="12"/>
                <w:szCs w:val="12"/>
              </w:rPr>
            </w:pPr>
            <w:r>
              <w:rPr>
                <w:b/>
                <w:sz w:val="12"/>
                <w:szCs w:val="1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74C2D183" w14:textId="77777777" w:rsidTr="00497913">
              <w:tc>
                <w:tcPr>
                  <w:tcW w:w="652" w:type="dxa"/>
                </w:tcPr>
                <w:p w14:paraId="19025BE5" w14:textId="77777777" w:rsidR="009F6C0B" w:rsidRPr="00ED64CA" w:rsidRDefault="008530DA" w:rsidP="009F6C0B">
                  <w:pPr>
                    <w:spacing w:before="40" w:after="40"/>
                    <w:jc w:val="center"/>
                    <w:rPr>
                      <w:b/>
                      <w:bCs/>
                      <w:sz w:val="20"/>
                      <w:szCs w:val="20"/>
                    </w:rPr>
                  </w:pPr>
                  <w:sdt>
                    <w:sdtPr>
                      <w:rPr>
                        <w:b/>
                        <w:bCs/>
                        <w:sz w:val="20"/>
                        <w:szCs w:val="20"/>
                      </w:rPr>
                      <w:id w:val="270437999"/>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0A8C1DDC" w14:textId="77777777" w:rsidR="009F6C0B" w:rsidRPr="00ED64CA" w:rsidRDefault="008530DA" w:rsidP="009F6C0B">
                  <w:pPr>
                    <w:spacing w:before="40" w:after="40"/>
                    <w:jc w:val="center"/>
                    <w:rPr>
                      <w:b/>
                      <w:bCs/>
                      <w:sz w:val="20"/>
                      <w:szCs w:val="20"/>
                    </w:rPr>
                  </w:pPr>
                  <w:sdt>
                    <w:sdtPr>
                      <w:rPr>
                        <w:b/>
                        <w:bCs/>
                        <w:sz w:val="20"/>
                        <w:szCs w:val="20"/>
                      </w:rPr>
                      <w:id w:val="-1926262841"/>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3C624735" w14:textId="77777777" w:rsidR="009F6C0B" w:rsidRPr="00ED64CA" w:rsidRDefault="008530DA" w:rsidP="009F6C0B">
                  <w:pPr>
                    <w:spacing w:before="40" w:after="40"/>
                    <w:jc w:val="center"/>
                    <w:rPr>
                      <w:b/>
                      <w:bCs/>
                      <w:sz w:val="20"/>
                      <w:szCs w:val="20"/>
                    </w:rPr>
                  </w:pPr>
                  <w:sdt>
                    <w:sdtPr>
                      <w:rPr>
                        <w:b/>
                        <w:bCs/>
                        <w:sz w:val="20"/>
                        <w:szCs w:val="20"/>
                      </w:rPr>
                      <w:id w:val="577092381"/>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21527E45" w14:textId="77777777" w:rsidR="009F6C0B" w:rsidRPr="00ED64CA" w:rsidRDefault="008530DA" w:rsidP="009F6C0B">
                  <w:pPr>
                    <w:spacing w:before="40" w:after="40"/>
                    <w:jc w:val="center"/>
                    <w:rPr>
                      <w:b/>
                      <w:bCs/>
                      <w:sz w:val="20"/>
                      <w:szCs w:val="20"/>
                    </w:rPr>
                  </w:pPr>
                  <w:sdt>
                    <w:sdtPr>
                      <w:rPr>
                        <w:b/>
                        <w:bCs/>
                        <w:sz w:val="20"/>
                        <w:szCs w:val="20"/>
                      </w:rPr>
                      <w:id w:val="-1373679210"/>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3F0949AA" w14:textId="77777777" w:rsidR="009F6C0B" w:rsidRDefault="009F6C0B" w:rsidP="0094375D">
            <w:pPr>
              <w:spacing w:beforeLines="40" w:before="96" w:afterLines="40" w:after="96"/>
              <w:jc w:val="center"/>
              <w:rPr>
                <w:b/>
                <w:sz w:val="12"/>
                <w:szCs w:val="12"/>
              </w:rPr>
            </w:pPr>
          </w:p>
          <w:p w14:paraId="789CB6BC" w14:textId="77777777" w:rsidR="009F6C0B" w:rsidRDefault="009F6C0B" w:rsidP="0094375D">
            <w:pPr>
              <w:spacing w:beforeLines="40" w:before="96"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67F27676" w14:textId="77777777" w:rsidTr="00497913">
              <w:tc>
                <w:tcPr>
                  <w:tcW w:w="652" w:type="dxa"/>
                </w:tcPr>
                <w:p w14:paraId="796CD88B" w14:textId="77777777" w:rsidR="009F6C0B" w:rsidRPr="00ED64CA" w:rsidRDefault="008530DA" w:rsidP="009F6C0B">
                  <w:pPr>
                    <w:spacing w:before="40" w:after="40"/>
                    <w:jc w:val="center"/>
                    <w:rPr>
                      <w:b/>
                      <w:bCs/>
                      <w:sz w:val="20"/>
                      <w:szCs w:val="20"/>
                    </w:rPr>
                  </w:pPr>
                  <w:sdt>
                    <w:sdtPr>
                      <w:rPr>
                        <w:b/>
                        <w:bCs/>
                        <w:sz w:val="20"/>
                        <w:szCs w:val="20"/>
                      </w:rPr>
                      <w:id w:val="1580631287"/>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5FBC3E76" w14:textId="77777777" w:rsidR="009F6C0B" w:rsidRPr="00ED64CA" w:rsidRDefault="008530DA" w:rsidP="009F6C0B">
                  <w:pPr>
                    <w:spacing w:before="40" w:after="40"/>
                    <w:jc w:val="center"/>
                    <w:rPr>
                      <w:b/>
                      <w:bCs/>
                      <w:sz w:val="20"/>
                      <w:szCs w:val="20"/>
                    </w:rPr>
                  </w:pPr>
                  <w:sdt>
                    <w:sdtPr>
                      <w:rPr>
                        <w:b/>
                        <w:bCs/>
                        <w:sz w:val="20"/>
                        <w:szCs w:val="20"/>
                      </w:rPr>
                      <w:id w:val="1731657890"/>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53B51958" w14:textId="77777777" w:rsidR="009F6C0B" w:rsidRPr="00ED64CA" w:rsidRDefault="008530DA" w:rsidP="009F6C0B">
                  <w:pPr>
                    <w:spacing w:before="40" w:after="40"/>
                    <w:jc w:val="center"/>
                    <w:rPr>
                      <w:b/>
                      <w:bCs/>
                      <w:sz w:val="20"/>
                      <w:szCs w:val="20"/>
                    </w:rPr>
                  </w:pPr>
                  <w:sdt>
                    <w:sdtPr>
                      <w:rPr>
                        <w:b/>
                        <w:bCs/>
                        <w:sz w:val="20"/>
                        <w:szCs w:val="20"/>
                      </w:rPr>
                      <w:id w:val="-1815640226"/>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659A350F" w14:textId="77777777" w:rsidR="009F6C0B" w:rsidRPr="00ED64CA" w:rsidRDefault="008530DA" w:rsidP="009F6C0B">
                  <w:pPr>
                    <w:spacing w:before="40" w:after="40"/>
                    <w:jc w:val="center"/>
                    <w:rPr>
                      <w:b/>
                      <w:bCs/>
                      <w:sz w:val="20"/>
                      <w:szCs w:val="20"/>
                    </w:rPr>
                  </w:pPr>
                  <w:sdt>
                    <w:sdtPr>
                      <w:rPr>
                        <w:b/>
                        <w:bCs/>
                        <w:sz w:val="20"/>
                        <w:szCs w:val="20"/>
                      </w:rPr>
                      <w:id w:val="-1926022879"/>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266799DE" w14:textId="77777777" w:rsidR="009F6C0B" w:rsidRDefault="009F6C0B" w:rsidP="0094375D">
            <w:pPr>
              <w:spacing w:beforeLines="40" w:before="96"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410208CF" w14:textId="77777777" w:rsidTr="00497913">
              <w:tc>
                <w:tcPr>
                  <w:tcW w:w="652" w:type="dxa"/>
                </w:tcPr>
                <w:p w14:paraId="0089CD5E" w14:textId="77777777" w:rsidR="009F6C0B" w:rsidRPr="00ED64CA" w:rsidRDefault="008530DA" w:rsidP="009F6C0B">
                  <w:pPr>
                    <w:spacing w:before="40" w:after="40"/>
                    <w:jc w:val="center"/>
                    <w:rPr>
                      <w:b/>
                      <w:bCs/>
                      <w:sz w:val="20"/>
                      <w:szCs w:val="20"/>
                    </w:rPr>
                  </w:pPr>
                  <w:sdt>
                    <w:sdtPr>
                      <w:rPr>
                        <w:b/>
                        <w:bCs/>
                        <w:sz w:val="20"/>
                        <w:szCs w:val="20"/>
                      </w:rPr>
                      <w:id w:val="-552848384"/>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419849F8" w14:textId="77777777" w:rsidR="009F6C0B" w:rsidRPr="00ED64CA" w:rsidRDefault="008530DA" w:rsidP="009F6C0B">
                  <w:pPr>
                    <w:spacing w:before="40" w:after="40"/>
                    <w:jc w:val="center"/>
                    <w:rPr>
                      <w:b/>
                      <w:bCs/>
                      <w:sz w:val="20"/>
                      <w:szCs w:val="20"/>
                    </w:rPr>
                  </w:pPr>
                  <w:sdt>
                    <w:sdtPr>
                      <w:rPr>
                        <w:b/>
                        <w:bCs/>
                        <w:sz w:val="20"/>
                        <w:szCs w:val="20"/>
                      </w:rPr>
                      <w:id w:val="588039569"/>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0A5A7921" w14:textId="77777777" w:rsidR="009F6C0B" w:rsidRPr="00ED64CA" w:rsidRDefault="008530DA" w:rsidP="009F6C0B">
                  <w:pPr>
                    <w:spacing w:before="40" w:after="40"/>
                    <w:jc w:val="center"/>
                    <w:rPr>
                      <w:b/>
                      <w:bCs/>
                      <w:sz w:val="20"/>
                      <w:szCs w:val="20"/>
                    </w:rPr>
                  </w:pPr>
                  <w:sdt>
                    <w:sdtPr>
                      <w:rPr>
                        <w:b/>
                        <w:bCs/>
                        <w:sz w:val="20"/>
                        <w:szCs w:val="20"/>
                      </w:rPr>
                      <w:id w:val="-137646125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4BE5913F" w14:textId="77777777" w:rsidR="009F6C0B" w:rsidRPr="00ED64CA" w:rsidRDefault="008530DA" w:rsidP="009F6C0B">
                  <w:pPr>
                    <w:spacing w:before="40" w:after="40"/>
                    <w:jc w:val="center"/>
                    <w:rPr>
                      <w:b/>
                      <w:bCs/>
                      <w:sz w:val="20"/>
                      <w:szCs w:val="20"/>
                    </w:rPr>
                  </w:pPr>
                  <w:sdt>
                    <w:sdtPr>
                      <w:rPr>
                        <w:b/>
                        <w:bCs/>
                        <w:sz w:val="20"/>
                        <w:szCs w:val="20"/>
                      </w:rPr>
                      <w:id w:val="845598974"/>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00C0AEFD" w14:textId="77777777" w:rsidR="009F6C0B" w:rsidRPr="009F6C0B" w:rsidRDefault="009F6C0B" w:rsidP="0094375D">
            <w:pPr>
              <w:spacing w:beforeLines="40" w:before="96" w:afterLines="40" w:after="96"/>
              <w:jc w:val="center"/>
              <w:rPr>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75CF1F11" w14:textId="77777777" w:rsidTr="00497913">
              <w:tc>
                <w:tcPr>
                  <w:tcW w:w="652" w:type="dxa"/>
                </w:tcPr>
                <w:p w14:paraId="75C2A0FD" w14:textId="77777777" w:rsidR="009F6C0B" w:rsidRPr="00ED64CA" w:rsidRDefault="008530DA" w:rsidP="009F6C0B">
                  <w:pPr>
                    <w:spacing w:before="40" w:after="40"/>
                    <w:jc w:val="center"/>
                    <w:rPr>
                      <w:b/>
                      <w:bCs/>
                      <w:sz w:val="20"/>
                      <w:szCs w:val="20"/>
                    </w:rPr>
                  </w:pPr>
                  <w:sdt>
                    <w:sdtPr>
                      <w:rPr>
                        <w:b/>
                        <w:bCs/>
                        <w:sz w:val="20"/>
                        <w:szCs w:val="20"/>
                      </w:rPr>
                      <w:id w:val="-167095754"/>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46A7077D" w14:textId="77777777" w:rsidR="009F6C0B" w:rsidRPr="00ED64CA" w:rsidRDefault="008530DA" w:rsidP="009F6C0B">
                  <w:pPr>
                    <w:spacing w:before="40" w:after="40"/>
                    <w:jc w:val="center"/>
                    <w:rPr>
                      <w:b/>
                      <w:bCs/>
                      <w:sz w:val="20"/>
                      <w:szCs w:val="20"/>
                    </w:rPr>
                  </w:pPr>
                  <w:sdt>
                    <w:sdtPr>
                      <w:rPr>
                        <w:b/>
                        <w:bCs/>
                        <w:sz w:val="20"/>
                        <w:szCs w:val="20"/>
                      </w:rPr>
                      <w:id w:val="-2096698109"/>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10D730BD" w14:textId="77777777" w:rsidR="009F6C0B" w:rsidRPr="00ED64CA" w:rsidRDefault="008530DA" w:rsidP="009F6C0B">
                  <w:pPr>
                    <w:spacing w:before="40" w:after="40"/>
                    <w:jc w:val="center"/>
                    <w:rPr>
                      <w:b/>
                      <w:bCs/>
                      <w:sz w:val="20"/>
                      <w:szCs w:val="20"/>
                    </w:rPr>
                  </w:pPr>
                  <w:sdt>
                    <w:sdtPr>
                      <w:rPr>
                        <w:b/>
                        <w:bCs/>
                        <w:sz w:val="20"/>
                        <w:szCs w:val="20"/>
                      </w:rPr>
                      <w:id w:val="-397132816"/>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2A756C79" w14:textId="77777777" w:rsidR="009F6C0B" w:rsidRPr="00ED64CA" w:rsidRDefault="008530DA" w:rsidP="009F6C0B">
                  <w:pPr>
                    <w:spacing w:before="40" w:after="40"/>
                    <w:jc w:val="center"/>
                    <w:rPr>
                      <w:b/>
                      <w:bCs/>
                      <w:sz w:val="20"/>
                      <w:szCs w:val="20"/>
                    </w:rPr>
                  </w:pPr>
                  <w:sdt>
                    <w:sdtPr>
                      <w:rPr>
                        <w:b/>
                        <w:bCs/>
                        <w:sz w:val="20"/>
                        <w:szCs w:val="20"/>
                      </w:rPr>
                      <w:id w:val="-114804874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48287820" w14:textId="77777777" w:rsidR="009F6C0B" w:rsidRDefault="009F6C0B" w:rsidP="0094375D">
            <w:pPr>
              <w:spacing w:beforeLines="40" w:before="96" w:afterLines="40" w:after="96"/>
              <w:jc w:val="cente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0B0CE8FE" w14:textId="77777777" w:rsidTr="00497913">
              <w:tc>
                <w:tcPr>
                  <w:tcW w:w="652" w:type="dxa"/>
                </w:tcPr>
                <w:p w14:paraId="37C23ADA" w14:textId="77777777" w:rsidR="009F6C0B" w:rsidRPr="00ED64CA" w:rsidRDefault="008530DA" w:rsidP="009F6C0B">
                  <w:pPr>
                    <w:spacing w:before="40" w:after="40"/>
                    <w:jc w:val="center"/>
                    <w:rPr>
                      <w:b/>
                      <w:bCs/>
                      <w:sz w:val="20"/>
                      <w:szCs w:val="20"/>
                    </w:rPr>
                  </w:pPr>
                  <w:sdt>
                    <w:sdtPr>
                      <w:rPr>
                        <w:b/>
                        <w:bCs/>
                        <w:sz w:val="20"/>
                        <w:szCs w:val="20"/>
                      </w:rPr>
                      <w:id w:val="-1490467780"/>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315891F1" w14:textId="77777777" w:rsidR="009F6C0B" w:rsidRPr="00ED64CA" w:rsidRDefault="008530DA" w:rsidP="009F6C0B">
                  <w:pPr>
                    <w:spacing w:before="40" w:after="40"/>
                    <w:jc w:val="center"/>
                    <w:rPr>
                      <w:b/>
                      <w:bCs/>
                      <w:sz w:val="20"/>
                      <w:szCs w:val="20"/>
                    </w:rPr>
                  </w:pPr>
                  <w:sdt>
                    <w:sdtPr>
                      <w:rPr>
                        <w:b/>
                        <w:bCs/>
                        <w:sz w:val="20"/>
                        <w:szCs w:val="20"/>
                      </w:rPr>
                      <w:id w:val="318786"/>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2DE38EBD" w14:textId="77777777" w:rsidR="009F6C0B" w:rsidRPr="00ED64CA" w:rsidRDefault="008530DA" w:rsidP="009F6C0B">
                  <w:pPr>
                    <w:spacing w:before="40" w:after="40"/>
                    <w:jc w:val="center"/>
                    <w:rPr>
                      <w:b/>
                      <w:bCs/>
                      <w:sz w:val="20"/>
                      <w:szCs w:val="20"/>
                    </w:rPr>
                  </w:pPr>
                  <w:sdt>
                    <w:sdtPr>
                      <w:rPr>
                        <w:b/>
                        <w:bCs/>
                        <w:sz w:val="20"/>
                        <w:szCs w:val="20"/>
                      </w:rPr>
                      <w:id w:val="-194791904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0DE7A761" w14:textId="77777777" w:rsidR="009F6C0B" w:rsidRPr="00ED64CA" w:rsidRDefault="008530DA" w:rsidP="009F6C0B">
                  <w:pPr>
                    <w:spacing w:before="40" w:after="40"/>
                    <w:jc w:val="center"/>
                    <w:rPr>
                      <w:b/>
                      <w:bCs/>
                      <w:sz w:val="20"/>
                      <w:szCs w:val="20"/>
                    </w:rPr>
                  </w:pPr>
                  <w:sdt>
                    <w:sdtPr>
                      <w:rPr>
                        <w:b/>
                        <w:bCs/>
                        <w:sz w:val="20"/>
                        <w:szCs w:val="20"/>
                      </w:rPr>
                      <w:id w:val="1642453343"/>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6E86B914" w14:textId="25E7C976" w:rsidR="009F6C0B" w:rsidRPr="009F6C0B" w:rsidRDefault="009F6C0B" w:rsidP="0094375D">
            <w:pPr>
              <w:spacing w:beforeLines="40" w:before="96" w:afterLines="40" w:after="96"/>
              <w:jc w:val="center"/>
              <w:rPr>
                <w:b/>
                <w:sz w:val="12"/>
                <w:szCs w:val="12"/>
              </w:rPr>
            </w:pPr>
          </w:p>
        </w:tc>
      </w:tr>
      <w:tr w:rsidR="00415948" w14:paraId="62130496" w14:textId="77777777" w:rsidTr="00497913">
        <w:tc>
          <w:tcPr>
            <w:tcW w:w="3258" w:type="dxa"/>
            <w:tcBorders>
              <w:top w:val="single" w:sz="8" w:space="0" w:color="auto"/>
              <w:left w:val="single" w:sz="8" w:space="0" w:color="auto"/>
              <w:bottom w:val="single" w:sz="8" w:space="0" w:color="auto"/>
              <w:right w:val="single" w:sz="8" w:space="0" w:color="auto"/>
            </w:tcBorders>
            <w:shd w:val="clear" w:color="auto" w:fill="EEECE1" w:themeFill="background2"/>
          </w:tcPr>
          <w:p w14:paraId="66BD136C" w14:textId="67C08A3D" w:rsidR="00415948" w:rsidRPr="004736FC" w:rsidRDefault="00415948" w:rsidP="0094375D">
            <w:pPr>
              <w:spacing w:beforeLines="40" w:before="96" w:afterLines="40" w:after="96"/>
              <w:ind w:left="360" w:hanging="317"/>
              <w:rPr>
                <w:bCs/>
                <w:sz w:val="18"/>
                <w:szCs w:val="18"/>
              </w:rPr>
            </w:pPr>
            <w:r>
              <w:rPr>
                <w:b/>
                <w:sz w:val="18"/>
                <w:szCs w:val="18"/>
              </w:rPr>
              <w:t>2d.  Systematically scale industry-aligned WBL experiences:</w:t>
            </w:r>
            <w:r>
              <w:rPr>
                <w:bCs/>
                <w:sz w:val="18"/>
                <w:szCs w:val="18"/>
              </w:rPr>
              <w:t xml:space="preserve"> Infrastructure and policies are in place to efficiently connect employers and educators to launch, grow, and maintain WBL programs at scale, especially those at the higher end of the continuum, such as internships and youth apprenticeships.</w:t>
            </w:r>
          </w:p>
          <w:p w14:paraId="13920EE4" w14:textId="1B2CA76E" w:rsidR="00415948" w:rsidRPr="00DF5779" w:rsidRDefault="00415948" w:rsidP="0094375D">
            <w:pPr>
              <w:spacing w:beforeLines="40" w:before="96" w:afterLines="40" w:after="96"/>
              <w:ind w:left="360" w:hanging="317"/>
              <w:rPr>
                <w:sz w:val="18"/>
                <w:szCs w:val="18"/>
              </w:rPr>
            </w:pPr>
          </w:p>
        </w:tc>
        <w:tc>
          <w:tcPr>
            <w:tcW w:w="8505" w:type="dxa"/>
            <w:tcBorders>
              <w:top w:val="single" w:sz="8" w:space="0" w:color="auto"/>
              <w:left w:val="single" w:sz="8" w:space="0" w:color="auto"/>
              <w:bottom w:val="single" w:sz="8" w:space="0" w:color="auto"/>
              <w:right w:val="single" w:sz="8" w:space="0" w:color="auto"/>
            </w:tcBorders>
            <w:shd w:val="clear" w:color="auto" w:fill="EEECE1" w:themeFill="background2"/>
          </w:tcPr>
          <w:p w14:paraId="3C9F73FD" w14:textId="77777777" w:rsidR="00415948" w:rsidRPr="001B5583" w:rsidRDefault="00415948" w:rsidP="0094375D">
            <w:pPr>
              <w:spacing w:beforeLines="40" w:before="96" w:afterLines="40" w:after="96"/>
              <w:rPr>
                <w:b/>
                <w:bCs/>
                <w:sz w:val="20"/>
                <w:szCs w:val="20"/>
              </w:rPr>
            </w:pPr>
            <w:r w:rsidRPr="001B5583">
              <w:rPr>
                <w:b/>
                <w:bCs/>
                <w:sz w:val="20"/>
                <w:szCs w:val="20"/>
              </w:rPr>
              <w:t>Target outcome 2d: Build capacity to coordinate and scale WBL experiences that connect educators, employers, and students</w:t>
            </w:r>
          </w:p>
          <w:p w14:paraId="4C317D43" w14:textId="4D55DC86" w:rsidR="00415948" w:rsidRPr="004C2C57" w:rsidRDefault="00415948" w:rsidP="00A44D7D">
            <w:pPr>
              <w:pStyle w:val="ListParagraph"/>
              <w:numPr>
                <w:ilvl w:val="0"/>
                <w:numId w:val="15"/>
              </w:numPr>
              <w:spacing w:beforeLines="40" w:before="96" w:afterLines="40" w:after="96"/>
              <w:ind w:left="405"/>
              <w:rPr>
                <w:sz w:val="18"/>
                <w:szCs w:val="18"/>
              </w:rPr>
            </w:pPr>
            <w:r w:rsidRPr="004C2C57">
              <w:rPr>
                <w:sz w:val="18"/>
                <w:szCs w:val="18"/>
              </w:rPr>
              <w:t xml:space="preserve">District and </w:t>
            </w:r>
            <w:r w:rsidR="004C2C57">
              <w:rPr>
                <w:sz w:val="18"/>
                <w:szCs w:val="18"/>
              </w:rPr>
              <w:t>postsecondary</w:t>
            </w:r>
            <w:r w:rsidRPr="004C2C57">
              <w:rPr>
                <w:sz w:val="18"/>
                <w:szCs w:val="18"/>
              </w:rPr>
              <w:t xml:space="preserve"> education partners have designed and built internal capacity to offer WBL experiences, especially internships and/or youth apprenticeships, at scale in a way that offers focused, high-quality student experiences.</w:t>
            </w:r>
            <w:r w:rsidR="00EF6046" w:rsidRPr="004C2C57">
              <w:rPr>
                <w:sz w:val="18"/>
                <w:szCs w:val="18"/>
              </w:rPr>
              <w:br/>
            </w:r>
          </w:p>
          <w:p w14:paraId="219F50B4" w14:textId="627090E2" w:rsidR="00415948" w:rsidRDefault="00415948" w:rsidP="00A44D7D">
            <w:pPr>
              <w:pStyle w:val="ListParagraph"/>
              <w:numPr>
                <w:ilvl w:val="0"/>
                <w:numId w:val="15"/>
              </w:numPr>
              <w:spacing w:beforeLines="40" w:before="96" w:afterLines="40" w:after="96"/>
              <w:ind w:left="405"/>
              <w:rPr>
                <w:sz w:val="18"/>
                <w:szCs w:val="18"/>
              </w:rPr>
            </w:pPr>
            <w:r>
              <w:rPr>
                <w:sz w:val="18"/>
                <w:szCs w:val="18"/>
              </w:rPr>
              <w:t xml:space="preserve">District and </w:t>
            </w:r>
            <w:r w:rsidR="004C2C57">
              <w:rPr>
                <w:sz w:val="18"/>
                <w:szCs w:val="18"/>
              </w:rPr>
              <w:t>postsecondary</w:t>
            </w:r>
            <w:r>
              <w:rPr>
                <w:sz w:val="18"/>
                <w:szCs w:val="18"/>
              </w:rPr>
              <w:t xml:space="preserve"> education partners have designed, built, and/or are partnering with a WBL intermediary organization to provide services to employers, districts, and students to efficiently and effectively offer internships and/or youth apprenticeships at scale.</w:t>
            </w:r>
            <w:r w:rsidR="00EF6046">
              <w:rPr>
                <w:sz w:val="18"/>
                <w:szCs w:val="18"/>
              </w:rPr>
              <w:br/>
            </w:r>
          </w:p>
          <w:p w14:paraId="77E7C94D" w14:textId="634C3B0A" w:rsidR="00415948" w:rsidRDefault="00415948" w:rsidP="00A44D7D">
            <w:pPr>
              <w:pStyle w:val="ListParagraph"/>
              <w:numPr>
                <w:ilvl w:val="0"/>
                <w:numId w:val="15"/>
              </w:numPr>
              <w:spacing w:beforeLines="40" w:before="96" w:afterLines="40" w:after="96"/>
              <w:ind w:left="405"/>
              <w:rPr>
                <w:sz w:val="18"/>
                <w:szCs w:val="18"/>
              </w:rPr>
            </w:pPr>
            <w:r>
              <w:rPr>
                <w:sz w:val="18"/>
                <w:szCs w:val="18"/>
              </w:rPr>
              <w:t xml:space="preserve">A clear strategy is in place to recruit and train employers to ensure there is </w:t>
            </w:r>
            <w:proofErr w:type="gramStart"/>
            <w:r>
              <w:rPr>
                <w:sz w:val="18"/>
                <w:szCs w:val="18"/>
              </w:rPr>
              <w:t>a sufficient number of</w:t>
            </w:r>
            <w:proofErr w:type="gramEnd"/>
            <w:r>
              <w:rPr>
                <w:sz w:val="18"/>
                <w:szCs w:val="18"/>
              </w:rPr>
              <w:t xml:space="preserve"> high-quality WBL opportunities for students.</w:t>
            </w:r>
            <w:r w:rsidR="00EF6046">
              <w:rPr>
                <w:sz w:val="18"/>
                <w:szCs w:val="18"/>
              </w:rPr>
              <w:br/>
            </w:r>
          </w:p>
          <w:p w14:paraId="12228CDB" w14:textId="071EBD70" w:rsidR="00415948" w:rsidRPr="00FD68D0" w:rsidRDefault="00415948" w:rsidP="00A44D7D">
            <w:pPr>
              <w:pStyle w:val="ListParagraph"/>
              <w:numPr>
                <w:ilvl w:val="0"/>
                <w:numId w:val="15"/>
              </w:numPr>
              <w:spacing w:beforeLines="40" w:before="96" w:afterLines="40" w:after="96"/>
              <w:ind w:left="405"/>
              <w:rPr>
                <w:sz w:val="18"/>
                <w:szCs w:val="18"/>
              </w:rPr>
            </w:pPr>
            <w:r>
              <w:rPr>
                <w:sz w:val="18"/>
                <w:szCs w:val="18"/>
              </w:rPr>
              <w:t xml:space="preserve">Employers have </w:t>
            </w:r>
            <w:r w:rsidRPr="00FD68D0">
              <w:rPr>
                <w:sz w:val="18"/>
                <w:szCs w:val="18"/>
              </w:rPr>
              <w:t xml:space="preserve">a single point of </w:t>
            </w:r>
            <w:r>
              <w:rPr>
                <w:sz w:val="18"/>
                <w:szCs w:val="18"/>
              </w:rPr>
              <w:t>contact</w:t>
            </w:r>
            <w:r w:rsidRPr="00FD68D0">
              <w:rPr>
                <w:sz w:val="18"/>
                <w:szCs w:val="18"/>
              </w:rPr>
              <w:t xml:space="preserve"> </w:t>
            </w:r>
            <w:r>
              <w:rPr>
                <w:sz w:val="18"/>
                <w:szCs w:val="18"/>
              </w:rPr>
              <w:t xml:space="preserve">in the district and </w:t>
            </w:r>
            <w:r w:rsidR="004C2C57">
              <w:rPr>
                <w:sz w:val="18"/>
                <w:szCs w:val="18"/>
              </w:rPr>
              <w:t>postsecondary</w:t>
            </w:r>
            <w:r>
              <w:rPr>
                <w:sz w:val="18"/>
                <w:szCs w:val="18"/>
              </w:rPr>
              <w:t xml:space="preserve"> education institution </w:t>
            </w:r>
            <w:r w:rsidRPr="00FD68D0">
              <w:rPr>
                <w:sz w:val="18"/>
                <w:szCs w:val="18"/>
              </w:rPr>
              <w:t xml:space="preserve">to </w:t>
            </w:r>
            <w:r>
              <w:rPr>
                <w:sz w:val="18"/>
                <w:szCs w:val="18"/>
              </w:rPr>
              <w:t>consult about providing</w:t>
            </w:r>
            <w:r w:rsidRPr="00FD68D0">
              <w:rPr>
                <w:sz w:val="18"/>
                <w:szCs w:val="18"/>
              </w:rPr>
              <w:t xml:space="preserve"> WBL opportunities.</w:t>
            </w:r>
            <w:r>
              <w:rPr>
                <w:sz w:val="18"/>
                <w:szCs w:val="18"/>
              </w:rPr>
              <w:t xml:space="preserve"> </w:t>
            </w:r>
            <w:r w:rsidR="00EF6046">
              <w:rPr>
                <w:sz w:val="18"/>
                <w:szCs w:val="18"/>
              </w:rPr>
              <w:br/>
            </w:r>
          </w:p>
          <w:p w14:paraId="52826707" w14:textId="57A930F3" w:rsidR="00415948" w:rsidRDefault="00415948" w:rsidP="00A44D7D">
            <w:pPr>
              <w:pStyle w:val="ListParagraph"/>
              <w:numPr>
                <w:ilvl w:val="0"/>
                <w:numId w:val="15"/>
              </w:numPr>
              <w:spacing w:beforeLines="40" w:before="96" w:afterLines="40" w:after="96"/>
              <w:ind w:left="405"/>
              <w:rPr>
                <w:sz w:val="18"/>
                <w:szCs w:val="18"/>
              </w:rPr>
            </w:pPr>
            <w:r>
              <w:rPr>
                <w:sz w:val="18"/>
                <w:szCs w:val="18"/>
              </w:rPr>
              <w:t>There is an established</w:t>
            </w:r>
            <w:r w:rsidRPr="00FD68D0">
              <w:rPr>
                <w:sz w:val="18"/>
                <w:szCs w:val="18"/>
              </w:rPr>
              <w:t xml:space="preserve"> technology platform</w:t>
            </w:r>
            <w:r>
              <w:rPr>
                <w:sz w:val="18"/>
                <w:szCs w:val="18"/>
              </w:rPr>
              <w:t xml:space="preserve"> or other mechanism</w:t>
            </w:r>
            <w:r w:rsidRPr="00FD68D0">
              <w:rPr>
                <w:sz w:val="18"/>
                <w:szCs w:val="18"/>
              </w:rPr>
              <w:t xml:space="preserve"> </w:t>
            </w:r>
            <w:r>
              <w:rPr>
                <w:sz w:val="18"/>
                <w:szCs w:val="18"/>
              </w:rPr>
              <w:t>that</w:t>
            </w:r>
            <w:r w:rsidRPr="00FD68D0">
              <w:rPr>
                <w:sz w:val="18"/>
                <w:szCs w:val="18"/>
              </w:rPr>
              <w:t xml:space="preserve"> match</w:t>
            </w:r>
            <w:r>
              <w:rPr>
                <w:sz w:val="18"/>
                <w:szCs w:val="18"/>
              </w:rPr>
              <w:t>es</w:t>
            </w:r>
            <w:r w:rsidRPr="00FD68D0">
              <w:rPr>
                <w:sz w:val="18"/>
                <w:szCs w:val="18"/>
              </w:rPr>
              <w:t xml:space="preserve"> students and schools with employers for career exploration activities, internships, and/or youth apprenticeships.</w:t>
            </w:r>
            <w:r w:rsidR="00EF6046">
              <w:rPr>
                <w:sz w:val="18"/>
                <w:szCs w:val="18"/>
              </w:rPr>
              <w:br/>
            </w:r>
          </w:p>
          <w:p w14:paraId="6FB75D98" w14:textId="4D7880C1" w:rsidR="00415948" w:rsidRPr="00FD68D0" w:rsidRDefault="00415948" w:rsidP="00A44D7D">
            <w:pPr>
              <w:pStyle w:val="ListParagraph"/>
              <w:numPr>
                <w:ilvl w:val="0"/>
                <w:numId w:val="15"/>
              </w:numPr>
              <w:spacing w:beforeLines="40" w:before="96" w:afterLines="40" w:after="96"/>
              <w:ind w:left="405"/>
              <w:rPr>
                <w:sz w:val="18"/>
                <w:szCs w:val="18"/>
              </w:rPr>
            </w:pPr>
            <w:r w:rsidRPr="00FD68D0">
              <w:rPr>
                <w:sz w:val="18"/>
                <w:szCs w:val="18"/>
              </w:rPr>
              <w:t>The</w:t>
            </w:r>
            <w:r>
              <w:rPr>
                <w:sz w:val="18"/>
                <w:szCs w:val="18"/>
              </w:rPr>
              <w:t>re is a central coordinating entity, like an intermediary, that</w:t>
            </w:r>
            <w:r w:rsidRPr="00FD68D0">
              <w:rPr>
                <w:sz w:val="18"/>
                <w:szCs w:val="18"/>
              </w:rPr>
              <w:t xml:space="preserve"> serves as the employer of record</w:t>
            </w:r>
            <w:r>
              <w:rPr>
                <w:sz w:val="18"/>
                <w:szCs w:val="18"/>
              </w:rPr>
              <w:t xml:space="preserve"> for the district and </w:t>
            </w:r>
            <w:r w:rsidR="004C2C57">
              <w:rPr>
                <w:sz w:val="18"/>
                <w:szCs w:val="18"/>
              </w:rPr>
              <w:t>postsecondary</w:t>
            </w:r>
            <w:r>
              <w:rPr>
                <w:sz w:val="18"/>
                <w:szCs w:val="18"/>
              </w:rPr>
              <w:t xml:space="preserve"> education institutions</w:t>
            </w:r>
            <w:r w:rsidRPr="00FD68D0">
              <w:rPr>
                <w:sz w:val="18"/>
                <w:szCs w:val="18"/>
              </w:rPr>
              <w:t>, providing</w:t>
            </w:r>
            <w:r>
              <w:rPr>
                <w:sz w:val="18"/>
                <w:szCs w:val="18"/>
              </w:rPr>
              <w:t xml:space="preserve"> services such as</w:t>
            </w:r>
            <w:r w:rsidRPr="00FD68D0">
              <w:rPr>
                <w:sz w:val="18"/>
                <w:szCs w:val="18"/>
              </w:rPr>
              <w:t xml:space="preserve"> liability coverage for students in the workplace, conducting background checks and drug tests, and managing payroll services.</w:t>
            </w:r>
            <w:r w:rsidR="00EF6046">
              <w:rPr>
                <w:sz w:val="18"/>
                <w:szCs w:val="18"/>
              </w:rPr>
              <w:br/>
            </w:r>
          </w:p>
          <w:p w14:paraId="7FA3E7C1" w14:textId="45B1B411" w:rsidR="0094375D" w:rsidRDefault="00415948" w:rsidP="00A44D7D">
            <w:pPr>
              <w:pStyle w:val="ListParagraph"/>
              <w:numPr>
                <w:ilvl w:val="0"/>
                <w:numId w:val="15"/>
              </w:numPr>
              <w:spacing w:beforeLines="40" w:before="96" w:afterLines="40" w:after="96"/>
              <w:ind w:left="405"/>
              <w:rPr>
                <w:sz w:val="18"/>
                <w:szCs w:val="18"/>
              </w:rPr>
            </w:pPr>
            <w:r>
              <w:rPr>
                <w:sz w:val="18"/>
                <w:szCs w:val="18"/>
              </w:rPr>
              <w:lastRenderedPageBreak/>
              <w:t xml:space="preserve">The central coordinating entity utilizes a strategy to effectively prepare high school and </w:t>
            </w:r>
            <w:r w:rsidR="004C2C57">
              <w:rPr>
                <w:sz w:val="18"/>
                <w:szCs w:val="18"/>
              </w:rPr>
              <w:t>postsecondary</w:t>
            </w:r>
            <w:r>
              <w:rPr>
                <w:sz w:val="18"/>
                <w:szCs w:val="18"/>
              </w:rPr>
              <w:t xml:space="preserve"> students for the expectations of internships and/or youth apprenticeships.</w:t>
            </w:r>
            <w:r w:rsidR="00EF6046">
              <w:rPr>
                <w:sz w:val="18"/>
                <w:szCs w:val="18"/>
              </w:rPr>
              <w:br/>
            </w:r>
          </w:p>
          <w:p w14:paraId="04CF8AEE" w14:textId="44F4D533" w:rsidR="00415948" w:rsidRPr="0094375D" w:rsidRDefault="00415948" w:rsidP="00A44D7D">
            <w:pPr>
              <w:pStyle w:val="ListParagraph"/>
              <w:numPr>
                <w:ilvl w:val="0"/>
                <w:numId w:val="15"/>
              </w:numPr>
              <w:spacing w:beforeLines="40" w:before="96" w:afterLines="40" w:after="96"/>
              <w:ind w:left="405"/>
              <w:rPr>
                <w:sz w:val="18"/>
                <w:szCs w:val="18"/>
              </w:rPr>
            </w:pPr>
            <w:r w:rsidRPr="0094375D">
              <w:rPr>
                <w:sz w:val="18"/>
                <w:szCs w:val="18"/>
              </w:rPr>
              <w:t>The central coordinating entity works with employers to design appropriate projects/responsibilities and map those against curriculum and industry standards</w:t>
            </w:r>
          </w:p>
        </w:tc>
        <w:tc>
          <w:tcPr>
            <w:tcW w:w="2835" w:type="dxa"/>
            <w:tcBorders>
              <w:top w:val="single" w:sz="8" w:space="0" w:color="auto"/>
              <w:left w:val="single" w:sz="8" w:space="0" w:color="auto"/>
              <w:bottom w:val="single" w:sz="8" w:space="0" w:color="auto"/>
              <w:right w:val="single" w:sz="8" w:space="0" w:color="auto"/>
            </w:tcBorders>
            <w:shd w:val="clear" w:color="auto" w:fill="EEECE1" w:themeFill="background2"/>
          </w:tcPr>
          <w:p w14:paraId="513E9EB3" w14:textId="77777777" w:rsidR="00415948" w:rsidRDefault="00415948" w:rsidP="0094375D">
            <w:pPr>
              <w:spacing w:beforeLines="40" w:before="96" w:afterLines="40" w:after="96"/>
              <w:rPr>
                <w:sz w:val="18"/>
                <w:szCs w:val="18"/>
              </w:rPr>
            </w:pPr>
          </w:p>
          <w:p w14:paraId="42266960" w14:textId="77777777" w:rsidR="009F6C0B" w:rsidRDefault="009F6C0B" w:rsidP="0094375D">
            <w:pPr>
              <w:spacing w:beforeLines="40" w:before="96" w:afterLines="40" w:after="96"/>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249563AB" w14:textId="77777777" w:rsidTr="00497913">
              <w:tc>
                <w:tcPr>
                  <w:tcW w:w="652" w:type="dxa"/>
                </w:tcPr>
                <w:p w14:paraId="1CAC6B77" w14:textId="77777777" w:rsidR="009F6C0B" w:rsidRPr="00ED64CA" w:rsidRDefault="008530DA" w:rsidP="009F6C0B">
                  <w:pPr>
                    <w:spacing w:before="40" w:after="40"/>
                    <w:jc w:val="center"/>
                    <w:rPr>
                      <w:b/>
                      <w:bCs/>
                      <w:sz w:val="20"/>
                      <w:szCs w:val="20"/>
                    </w:rPr>
                  </w:pPr>
                  <w:sdt>
                    <w:sdtPr>
                      <w:rPr>
                        <w:b/>
                        <w:bCs/>
                        <w:sz w:val="20"/>
                        <w:szCs w:val="20"/>
                      </w:rPr>
                      <w:id w:val="-1387709029"/>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1DA36B3B" w14:textId="77777777" w:rsidR="009F6C0B" w:rsidRPr="00ED64CA" w:rsidRDefault="008530DA" w:rsidP="009F6C0B">
                  <w:pPr>
                    <w:spacing w:before="40" w:after="40"/>
                    <w:jc w:val="center"/>
                    <w:rPr>
                      <w:b/>
                      <w:bCs/>
                      <w:sz w:val="20"/>
                      <w:szCs w:val="20"/>
                    </w:rPr>
                  </w:pPr>
                  <w:sdt>
                    <w:sdtPr>
                      <w:rPr>
                        <w:b/>
                        <w:bCs/>
                        <w:sz w:val="20"/>
                        <w:szCs w:val="20"/>
                      </w:rPr>
                      <w:id w:val="-938134294"/>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2155765A" w14:textId="77777777" w:rsidR="009F6C0B" w:rsidRPr="00ED64CA" w:rsidRDefault="008530DA" w:rsidP="009F6C0B">
                  <w:pPr>
                    <w:spacing w:before="40" w:after="40"/>
                    <w:jc w:val="center"/>
                    <w:rPr>
                      <w:b/>
                      <w:bCs/>
                      <w:sz w:val="20"/>
                      <w:szCs w:val="20"/>
                    </w:rPr>
                  </w:pPr>
                  <w:sdt>
                    <w:sdtPr>
                      <w:rPr>
                        <w:b/>
                        <w:bCs/>
                        <w:sz w:val="20"/>
                        <w:szCs w:val="20"/>
                      </w:rPr>
                      <w:id w:val="92977814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66AA0BD9" w14:textId="77777777" w:rsidR="009F6C0B" w:rsidRPr="00ED64CA" w:rsidRDefault="008530DA" w:rsidP="009F6C0B">
                  <w:pPr>
                    <w:spacing w:before="40" w:after="40"/>
                    <w:jc w:val="center"/>
                    <w:rPr>
                      <w:b/>
                      <w:bCs/>
                      <w:sz w:val="20"/>
                      <w:szCs w:val="20"/>
                    </w:rPr>
                  </w:pPr>
                  <w:sdt>
                    <w:sdtPr>
                      <w:rPr>
                        <w:b/>
                        <w:bCs/>
                        <w:sz w:val="20"/>
                        <w:szCs w:val="20"/>
                      </w:rPr>
                      <w:id w:val="-50282202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0A982C2D" w14:textId="77777777" w:rsidR="009F6C0B" w:rsidRDefault="009F6C0B" w:rsidP="0094375D">
            <w:pPr>
              <w:spacing w:beforeLines="40" w:before="96" w:afterLines="40" w:after="96"/>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4EBB8BF3" w14:textId="77777777" w:rsidTr="00497913">
              <w:tc>
                <w:tcPr>
                  <w:tcW w:w="652" w:type="dxa"/>
                </w:tcPr>
                <w:p w14:paraId="38058A56" w14:textId="77777777" w:rsidR="009F6C0B" w:rsidRPr="00ED64CA" w:rsidRDefault="008530DA" w:rsidP="009F6C0B">
                  <w:pPr>
                    <w:spacing w:before="40" w:after="40"/>
                    <w:jc w:val="center"/>
                    <w:rPr>
                      <w:b/>
                      <w:bCs/>
                      <w:sz w:val="20"/>
                      <w:szCs w:val="20"/>
                    </w:rPr>
                  </w:pPr>
                  <w:sdt>
                    <w:sdtPr>
                      <w:rPr>
                        <w:b/>
                        <w:bCs/>
                        <w:sz w:val="20"/>
                        <w:szCs w:val="20"/>
                      </w:rPr>
                      <w:id w:val="365341041"/>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4798D80A" w14:textId="77777777" w:rsidR="009F6C0B" w:rsidRPr="00ED64CA" w:rsidRDefault="008530DA" w:rsidP="009F6C0B">
                  <w:pPr>
                    <w:spacing w:before="40" w:after="40"/>
                    <w:jc w:val="center"/>
                    <w:rPr>
                      <w:b/>
                      <w:bCs/>
                      <w:sz w:val="20"/>
                      <w:szCs w:val="20"/>
                    </w:rPr>
                  </w:pPr>
                  <w:sdt>
                    <w:sdtPr>
                      <w:rPr>
                        <w:b/>
                        <w:bCs/>
                        <w:sz w:val="20"/>
                        <w:szCs w:val="20"/>
                      </w:rPr>
                      <w:id w:val="-963275079"/>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4DA4C675" w14:textId="77777777" w:rsidR="009F6C0B" w:rsidRPr="00ED64CA" w:rsidRDefault="008530DA" w:rsidP="009F6C0B">
                  <w:pPr>
                    <w:spacing w:before="40" w:after="40"/>
                    <w:jc w:val="center"/>
                    <w:rPr>
                      <w:b/>
                      <w:bCs/>
                      <w:sz w:val="20"/>
                      <w:szCs w:val="20"/>
                    </w:rPr>
                  </w:pPr>
                  <w:sdt>
                    <w:sdtPr>
                      <w:rPr>
                        <w:b/>
                        <w:bCs/>
                        <w:sz w:val="20"/>
                        <w:szCs w:val="20"/>
                      </w:rPr>
                      <w:id w:val="-184562849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455E53A4" w14:textId="77777777" w:rsidR="009F6C0B" w:rsidRPr="00ED64CA" w:rsidRDefault="008530DA" w:rsidP="009F6C0B">
                  <w:pPr>
                    <w:spacing w:before="40" w:after="40"/>
                    <w:jc w:val="center"/>
                    <w:rPr>
                      <w:b/>
                      <w:bCs/>
                      <w:sz w:val="20"/>
                      <w:szCs w:val="20"/>
                    </w:rPr>
                  </w:pPr>
                  <w:sdt>
                    <w:sdtPr>
                      <w:rPr>
                        <w:b/>
                        <w:bCs/>
                        <w:sz w:val="20"/>
                        <w:szCs w:val="20"/>
                      </w:rPr>
                      <w:id w:val="9220504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496F563E" w14:textId="6F022926" w:rsidR="009F6C0B" w:rsidRDefault="009F6C0B" w:rsidP="0094375D">
            <w:pPr>
              <w:spacing w:beforeLines="40" w:before="96" w:afterLines="40" w:after="96"/>
              <w:rPr>
                <w:sz w:val="12"/>
                <w:szCs w:val="12"/>
              </w:rPr>
            </w:pPr>
          </w:p>
          <w:p w14:paraId="40F1858D" w14:textId="0C9D37AF" w:rsidR="009F6C0B" w:rsidRDefault="009F6C0B" w:rsidP="0094375D">
            <w:pPr>
              <w:spacing w:beforeLines="40" w:before="96" w:afterLines="40" w:after="96"/>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65392D75" w14:textId="77777777" w:rsidTr="00497913">
              <w:tc>
                <w:tcPr>
                  <w:tcW w:w="652" w:type="dxa"/>
                </w:tcPr>
                <w:p w14:paraId="4B4C1BBA" w14:textId="77777777" w:rsidR="009F6C0B" w:rsidRPr="00ED64CA" w:rsidRDefault="008530DA" w:rsidP="009F6C0B">
                  <w:pPr>
                    <w:spacing w:before="40" w:after="40"/>
                    <w:jc w:val="center"/>
                    <w:rPr>
                      <w:b/>
                      <w:bCs/>
                      <w:sz w:val="20"/>
                      <w:szCs w:val="20"/>
                    </w:rPr>
                  </w:pPr>
                  <w:sdt>
                    <w:sdtPr>
                      <w:rPr>
                        <w:b/>
                        <w:bCs/>
                        <w:sz w:val="20"/>
                        <w:szCs w:val="20"/>
                      </w:rPr>
                      <w:id w:val="-2026319475"/>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41D09B5E" w14:textId="77777777" w:rsidR="009F6C0B" w:rsidRPr="00ED64CA" w:rsidRDefault="008530DA" w:rsidP="009F6C0B">
                  <w:pPr>
                    <w:spacing w:before="40" w:after="40"/>
                    <w:jc w:val="center"/>
                    <w:rPr>
                      <w:b/>
                      <w:bCs/>
                      <w:sz w:val="20"/>
                      <w:szCs w:val="20"/>
                    </w:rPr>
                  </w:pPr>
                  <w:sdt>
                    <w:sdtPr>
                      <w:rPr>
                        <w:b/>
                        <w:bCs/>
                        <w:sz w:val="20"/>
                        <w:szCs w:val="20"/>
                      </w:rPr>
                      <w:id w:val="179370652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7AE54C19" w14:textId="77777777" w:rsidR="009F6C0B" w:rsidRPr="00ED64CA" w:rsidRDefault="008530DA" w:rsidP="009F6C0B">
                  <w:pPr>
                    <w:spacing w:before="40" w:after="40"/>
                    <w:jc w:val="center"/>
                    <w:rPr>
                      <w:b/>
                      <w:bCs/>
                      <w:sz w:val="20"/>
                      <w:szCs w:val="20"/>
                    </w:rPr>
                  </w:pPr>
                  <w:sdt>
                    <w:sdtPr>
                      <w:rPr>
                        <w:b/>
                        <w:bCs/>
                        <w:sz w:val="20"/>
                        <w:szCs w:val="20"/>
                      </w:rPr>
                      <w:id w:val="1719699792"/>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49A54AF3" w14:textId="77777777" w:rsidR="009F6C0B" w:rsidRPr="00ED64CA" w:rsidRDefault="008530DA" w:rsidP="009F6C0B">
                  <w:pPr>
                    <w:spacing w:before="40" w:after="40"/>
                    <w:jc w:val="center"/>
                    <w:rPr>
                      <w:b/>
                      <w:bCs/>
                      <w:sz w:val="20"/>
                      <w:szCs w:val="20"/>
                    </w:rPr>
                  </w:pPr>
                  <w:sdt>
                    <w:sdtPr>
                      <w:rPr>
                        <w:b/>
                        <w:bCs/>
                        <w:sz w:val="20"/>
                        <w:szCs w:val="20"/>
                      </w:rPr>
                      <w:id w:val="671155833"/>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066DF6AA" w14:textId="5D91D1E5" w:rsidR="009F6C0B" w:rsidRDefault="009F6C0B" w:rsidP="0094375D">
            <w:pPr>
              <w:spacing w:beforeLines="40" w:before="96" w:afterLines="40" w:after="96"/>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70CA0208" w14:textId="77777777" w:rsidTr="00497913">
              <w:tc>
                <w:tcPr>
                  <w:tcW w:w="652" w:type="dxa"/>
                </w:tcPr>
                <w:p w14:paraId="4DDD50C7" w14:textId="77777777" w:rsidR="009F6C0B" w:rsidRPr="00ED64CA" w:rsidRDefault="008530DA" w:rsidP="009F6C0B">
                  <w:pPr>
                    <w:spacing w:before="40" w:after="40"/>
                    <w:jc w:val="center"/>
                    <w:rPr>
                      <w:b/>
                      <w:bCs/>
                      <w:sz w:val="20"/>
                      <w:szCs w:val="20"/>
                    </w:rPr>
                  </w:pPr>
                  <w:sdt>
                    <w:sdtPr>
                      <w:rPr>
                        <w:b/>
                        <w:bCs/>
                        <w:sz w:val="20"/>
                        <w:szCs w:val="20"/>
                      </w:rPr>
                      <w:id w:val="403103049"/>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3E70CB91" w14:textId="77777777" w:rsidR="009F6C0B" w:rsidRPr="00ED64CA" w:rsidRDefault="008530DA" w:rsidP="009F6C0B">
                  <w:pPr>
                    <w:spacing w:before="40" w:after="40"/>
                    <w:jc w:val="center"/>
                    <w:rPr>
                      <w:b/>
                      <w:bCs/>
                      <w:sz w:val="20"/>
                      <w:szCs w:val="20"/>
                    </w:rPr>
                  </w:pPr>
                  <w:sdt>
                    <w:sdtPr>
                      <w:rPr>
                        <w:b/>
                        <w:bCs/>
                        <w:sz w:val="20"/>
                        <w:szCs w:val="20"/>
                      </w:rPr>
                      <w:id w:val="-185233361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083E5B63" w14:textId="77777777" w:rsidR="009F6C0B" w:rsidRPr="00ED64CA" w:rsidRDefault="008530DA" w:rsidP="009F6C0B">
                  <w:pPr>
                    <w:spacing w:before="40" w:after="40"/>
                    <w:jc w:val="center"/>
                    <w:rPr>
                      <w:b/>
                      <w:bCs/>
                      <w:sz w:val="20"/>
                      <w:szCs w:val="20"/>
                    </w:rPr>
                  </w:pPr>
                  <w:sdt>
                    <w:sdtPr>
                      <w:rPr>
                        <w:b/>
                        <w:bCs/>
                        <w:sz w:val="20"/>
                        <w:szCs w:val="20"/>
                      </w:rPr>
                      <w:id w:val="-960099770"/>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5B44930B" w14:textId="77777777" w:rsidR="009F6C0B" w:rsidRPr="00ED64CA" w:rsidRDefault="008530DA" w:rsidP="009F6C0B">
                  <w:pPr>
                    <w:spacing w:before="40" w:after="40"/>
                    <w:jc w:val="center"/>
                    <w:rPr>
                      <w:b/>
                      <w:bCs/>
                      <w:sz w:val="20"/>
                      <w:szCs w:val="20"/>
                    </w:rPr>
                  </w:pPr>
                  <w:sdt>
                    <w:sdtPr>
                      <w:rPr>
                        <w:b/>
                        <w:bCs/>
                        <w:sz w:val="20"/>
                        <w:szCs w:val="20"/>
                      </w:rPr>
                      <w:id w:val="146246334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3E2E29B7" w14:textId="10BCE279" w:rsidR="009F6C0B" w:rsidRDefault="009F6C0B" w:rsidP="0094375D">
            <w:pPr>
              <w:spacing w:beforeLines="40" w:before="96" w:afterLines="40" w:after="96"/>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3555E103" w14:textId="77777777" w:rsidTr="00497913">
              <w:tc>
                <w:tcPr>
                  <w:tcW w:w="652" w:type="dxa"/>
                </w:tcPr>
                <w:p w14:paraId="47D3644B" w14:textId="77777777" w:rsidR="009F6C0B" w:rsidRPr="00ED64CA" w:rsidRDefault="008530DA" w:rsidP="009F6C0B">
                  <w:pPr>
                    <w:spacing w:before="40" w:after="40"/>
                    <w:jc w:val="center"/>
                    <w:rPr>
                      <w:b/>
                      <w:bCs/>
                      <w:sz w:val="20"/>
                      <w:szCs w:val="20"/>
                    </w:rPr>
                  </w:pPr>
                  <w:sdt>
                    <w:sdtPr>
                      <w:rPr>
                        <w:b/>
                        <w:bCs/>
                        <w:sz w:val="20"/>
                        <w:szCs w:val="20"/>
                      </w:rPr>
                      <w:id w:val="2082485827"/>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13BB6D43" w14:textId="77777777" w:rsidR="009F6C0B" w:rsidRPr="00ED64CA" w:rsidRDefault="008530DA" w:rsidP="009F6C0B">
                  <w:pPr>
                    <w:spacing w:before="40" w:after="40"/>
                    <w:jc w:val="center"/>
                    <w:rPr>
                      <w:b/>
                      <w:bCs/>
                      <w:sz w:val="20"/>
                      <w:szCs w:val="20"/>
                    </w:rPr>
                  </w:pPr>
                  <w:sdt>
                    <w:sdtPr>
                      <w:rPr>
                        <w:b/>
                        <w:bCs/>
                        <w:sz w:val="20"/>
                        <w:szCs w:val="20"/>
                      </w:rPr>
                      <w:id w:val="-35065173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185B668E" w14:textId="77777777" w:rsidR="009F6C0B" w:rsidRPr="00ED64CA" w:rsidRDefault="008530DA" w:rsidP="009F6C0B">
                  <w:pPr>
                    <w:spacing w:before="40" w:after="40"/>
                    <w:jc w:val="center"/>
                    <w:rPr>
                      <w:b/>
                      <w:bCs/>
                      <w:sz w:val="20"/>
                      <w:szCs w:val="20"/>
                    </w:rPr>
                  </w:pPr>
                  <w:sdt>
                    <w:sdtPr>
                      <w:rPr>
                        <w:b/>
                        <w:bCs/>
                        <w:sz w:val="20"/>
                        <w:szCs w:val="20"/>
                      </w:rPr>
                      <w:id w:val="-1564945919"/>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057A0671" w14:textId="77777777" w:rsidR="009F6C0B" w:rsidRPr="00ED64CA" w:rsidRDefault="008530DA" w:rsidP="009F6C0B">
                  <w:pPr>
                    <w:spacing w:before="40" w:after="40"/>
                    <w:jc w:val="center"/>
                    <w:rPr>
                      <w:b/>
                      <w:bCs/>
                      <w:sz w:val="20"/>
                      <w:szCs w:val="20"/>
                    </w:rPr>
                  </w:pPr>
                  <w:sdt>
                    <w:sdtPr>
                      <w:rPr>
                        <w:b/>
                        <w:bCs/>
                        <w:sz w:val="20"/>
                        <w:szCs w:val="20"/>
                      </w:rPr>
                      <w:id w:val="-890568655"/>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3948EF49" w14:textId="3AA60044" w:rsidR="009F6C0B" w:rsidRDefault="009F6C0B" w:rsidP="0094375D">
            <w:pPr>
              <w:spacing w:beforeLines="40" w:before="96" w:afterLines="40" w:after="96"/>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161804F5" w14:textId="77777777" w:rsidTr="00497913">
              <w:tc>
                <w:tcPr>
                  <w:tcW w:w="652" w:type="dxa"/>
                </w:tcPr>
                <w:p w14:paraId="090F25B4" w14:textId="77777777" w:rsidR="009F6C0B" w:rsidRPr="00ED64CA" w:rsidRDefault="008530DA" w:rsidP="009F6C0B">
                  <w:pPr>
                    <w:spacing w:before="40" w:after="40"/>
                    <w:jc w:val="center"/>
                    <w:rPr>
                      <w:b/>
                      <w:bCs/>
                      <w:sz w:val="20"/>
                      <w:szCs w:val="20"/>
                    </w:rPr>
                  </w:pPr>
                  <w:sdt>
                    <w:sdtPr>
                      <w:rPr>
                        <w:b/>
                        <w:bCs/>
                        <w:sz w:val="20"/>
                        <w:szCs w:val="20"/>
                      </w:rPr>
                      <w:id w:val="1352147689"/>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25261387" w14:textId="77777777" w:rsidR="009F6C0B" w:rsidRPr="00ED64CA" w:rsidRDefault="008530DA" w:rsidP="009F6C0B">
                  <w:pPr>
                    <w:spacing w:before="40" w:after="40"/>
                    <w:jc w:val="center"/>
                    <w:rPr>
                      <w:b/>
                      <w:bCs/>
                      <w:sz w:val="20"/>
                      <w:szCs w:val="20"/>
                    </w:rPr>
                  </w:pPr>
                  <w:sdt>
                    <w:sdtPr>
                      <w:rPr>
                        <w:b/>
                        <w:bCs/>
                        <w:sz w:val="20"/>
                        <w:szCs w:val="20"/>
                      </w:rPr>
                      <w:id w:val="-1566645598"/>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40C7F12B" w14:textId="77777777" w:rsidR="009F6C0B" w:rsidRPr="00ED64CA" w:rsidRDefault="008530DA" w:rsidP="009F6C0B">
                  <w:pPr>
                    <w:spacing w:before="40" w:after="40"/>
                    <w:jc w:val="center"/>
                    <w:rPr>
                      <w:b/>
                      <w:bCs/>
                      <w:sz w:val="20"/>
                      <w:szCs w:val="20"/>
                    </w:rPr>
                  </w:pPr>
                  <w:sdt>
                    <w:sdtPr>
                      <w:rPr>
                        <w:b/>
                        <w:bCs/>
                        <w:sz w:val="20"/>
                        <w:szCs w:val="20"/>
                      </w:rPr>
                      <w:id w:val="-751507115"/>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517BD144" w14:textId="77777777" w:rsidR="009F6C0B" w:rsidRPr="00ED64CA" w:rsidRDefault="008530DA" w:rsidP="009F6C0B">
                  <w:pPr>
                    <w:spacing w:before="40" w:after="40"/>
                    <w:jc w:val="center"/>
                    <w:rPr>
                      <w:b/>
                      <w:bCs/>
                      <w:sz w:val="20"/>
                      <w:szCs w:val="20"/>
                    </w:rPr>
                  </w:pPr>
                  <w:sdt>
                    <w:sdtPr>
                      <w:rPr>
                        <w:b/>
                        <w:bCs/>
                        <w:sz w:val="20"/>
                        <w:szCs w:val="20"/>
                      </w:rPr>
                      <w:id w:val="-918712171"/>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0D64F1D2" w14:textId="3282EA05" w:rsidR="009F6C0B" w:rsidRDefault="009F6C0B" w:rsidP="0094375D">
            <w:pPr>
              <w:spacing w:beforeLines="40" w:before="96" w:afterLines="40" w:after="96"/>
              <w:rPr>
                <w:sz w:val="12"/>
                <w:szCs w:val="12"/>
              </w:rPr>
            </w:pPr>
          </w:p>
          <w:p w14:paraId="63589270" w14:textId="57F6BD9C" w:rsidR="009F6C0B" w:rsidRDefault="009F6C0B" w:rsidP="0094375D">
            <w:pPr>
              <w:spacing w:beforeLines="40" w:before="96" w:afterLines="40" w:after="96"/>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00C8F040" w14:textId="77777777" w:rsidTr="00497913">
              <w:tc>
                <w:tcPr>
                  <w:tcW w:w="652" w:type="dxa"/>
                </w:tcPr>
                <w:p w14:paraId="74C3C8CF" w14:textId="77777777" w:rsidR="009F6C0B" w:rsidRPr="00ED64CA" w:rsidRDefault="008530DA" w:rsidP="009F6C0B">
                  <w:pPr>
                    <w:spacing w:before="40" w:after="40"/>
                    <w:jc w:val="center"/>
                    <w:rPr>
                      <w:b/>
                      <w:bCs/>
                      <w:sz w:val="20"/>
                      <w:szCs w:val="20"/>
                    </w:rPr>
                  </w:pPr>
                  <w:sdt>
                    <w:sdtPr>
                      <w:rPr>
                        <w:b/>
                        <w:bCs/>
                        <w:sz w:val="20"/>
                        <w:szCs w:val="20"/>
                      </w:rPr>
                      <w:id w:val="748779528"/>
                      <w14:checkbox>
                        <w14:checked w14:val="0"/>
                        <w14:checkedState w14:val="2612" w14:font="MS Gothic"/>
                        <w14:uncheckedState w14:val="2610" w14:font="MS Gothic"/>
                      </w14:checkbox>
                    </w:sdtPr>
                    <w:sdtContent>
                      <w:r w:rsidR="009F6C0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15FB9B92" w14:textId="77777777" w:rsidR="009F6C0B" w:rsidRPr="00ED64CA" w:rsidRDefault="008530DA" w:rsidP="009F6C0B">
                  <w:pPr>
                    <w:spacing w:before="40" w:after="40"/>
                    <w:jc w:val="center"/>
                    <w:rPr>
                      <w:b/>
                      <w:bCs/>
                      <w:sz w:val="20"/>
                      <w:szCs w:val="20"/>
                    </w:rPr>
                  </w:pPr>
                  <w:sdt>
                    <w:sdtPr>
                      <w:rPr>
                        <w:b/>
                        <w:bCs/>
                        <w:sz w:val="20"/>
                        <w:szCs w:val="20"/>
                      </w:rPr>
                      <w:id w:val="66289318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708BF8F1" w14:textId="77777777" w:rsidR="009F6C0B" w:rsidRPr="00ED64CA" w:rsidRDefault="008530DA" w:rsidP="009F6C0B">
                  <w:pPr>
                    <w:spacing w:before="40" w:after="40"/>
                    <w:jc w:val="center"/>
                    <w:rPr>
                      <w:b/>
                      <w:bCs/>
                      <w:sz w:val="20"/>
                      <w:szCs w:val="20"/>
                    </w:rPr>
                  </w:pPr>
                  <w:sdt>
                    <w:sdtPr>
                      <w:rPr>
                        <w:b/>
                        <w:bCs/>
                        <w:sz w:val="20"/>
                        <w:szCs w:val="20"/>
                      </w:rPr>
                      <w:id w:val="124508607"/>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44DA2BA3" w14:textId="77777777" w:rsidR="009F6C0B" w:rsidRPr="00ED64CA" w:rsidRDefault="008530DA" w:rsidP="009F6C0B">
                  <w:pPr>
                    <w:spacing w:before="40" w:after="40"/>
                    <w:jc w:val="center"/>
                    <w:rPr>
                      <w:b/>
                      <w:bCs/>
                      <w:sz w:val="20"/>
                      <w:szCs w:val="20"/>
                    </w:rPr>
                  </w:pPr>
                  <w:sdt>
                    <w:sdtPr>
                      <w:rPr>
                        <w:b/>
                        <w:bCs/>
                        <w:sz w:val="20"/>
                        <w:szCs w:val="20"/>
                      </w:rPr>
                      <w:id w:val="-790976469"/>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2FD4EB3B" w14:textId="37B5672C" w:rsidR="009F6C0B" w:rsidRDefault="009F6C0B" w:rsidP="0094375D">
            <w:pPr>
              <w:spacing w:beforeLines="40" w:before="96" w:afterLines="40" w:after="96"/>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F6C0B" w:rsidRPr="00ED64CA" w14:paraId="756C8A17" w14:textId="77777777" w:rsidTr="00497913">
              <w:tc>
                <w:tcPr>
                  <w:tcW w:w="652" w:type="dxa"/>
                </w:tcPr>
                <w:p w14:paraId="16D3E2D7" w14:textId="42DB4CBF" w:rsidR="009F6C0B" w:rsidRPr="00ED64CA" w:rsidRDefault="008530DA" w:rsidP="009F6C0B">
                  <w:pPr>
                    <w:spacing w:before="40" w:after="40"/>
                    <w:jc w:val="center"/>
                    <w:rPr>
                      <w:b/>
                      <w:bCs/>
                      <w:sz w:val="20"/>
                      <w:szCs w:val="20"/>
                    </w:rPr>
                  </w:pPr>
                  <w:sdt>
                    <w:sdtPr>
                      <w:rPr>
                        <w:b/>
                        <w:bCs/>
                        <w:sz w:val="20"/>
                        <w:szCs w:val="20"/>
                      </w:rPr>
                      <w:id w:val="-1479446109"/>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9F6C0B" w:rsidRPr="00ED64CA">
                    <w:rPr>
                      <w:b/>
                      <w:bCs/>
                      <w:sz w:val="20"/>
                      <w:szCs w:val="20"/>
                    </w:rPr>
                    <w:t>1</w:t>
                  </w:r>
                </w:p>
              </w:tc>
              <w:tc>
                <w:tcPr>
                  <w:tcW w:w="652" w:type="dxa"/>
                </w:tcPr>
                <w:p w14:paraId="59B21551" w14:textId="77777777" w:rsidR="009F6C0B" w:rsidRPr="00ED64CA" w:rsidRDefault="008530DA" w:rsidP="009F6C0B">
                  <w:pPr>
                    <w:spacing w:before="40" w:after="40"/>
                    <w:jc w:val="center"/>
                    <w:rPr>
                      <w:b/>
                      <w:bCs/>
                      <w:sz w:val="20"/>
                      <w:szCs w:val="20"/>
                    </w:rPr>
                  </w:pPr>
                  <w:sdt>
                    <w:sdtPr>
                      <w:rPr>
                        <w:b/>
                        <w:bCs/>
                        <w:sz w:val="20"/>
                        <w:szCs w:val="20"/>
                      </w:rPr>
                      <w:id w:val="-730921335"/>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2</w:t>
                  </w:r>
                </w:p>
              </w:tc>
              <w:tc>
                <w:tcPr>
                  <w:tcW w:w="652" w:type="dxa"/>
                </w:tcPr>
                <w:p w14:paraId="1FE89BA5" w14:textId="77777777" w:rsidR="009F6C0B" w:rsidRPr="00ED64CA" w:rsidRDefault="008530DA" w:rsidP="009F6C0B">
                  <w:pPr>
                    <w:spacing w:before="40" w:after="40"/>
                    <w:jc w:val="center"/>
                    <w:rPr>
                      <w:b/>
                      <w:bCs/>
                      <w:sz w:val="20"/>
                      <w:szCs w:val="20"/>
                    </w:rPr>
                  </w:pPr>
                  <w:sdt>
                    <w:sdtPr>
                      <w:rPr>
                        <w:b/>
                        <w:bCs/>
                        <w:sz w:val="20"/>
                        <w:szCs w:val="20"/>
                      </w:rPr>
                      <w:id w:val="163292074"/>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3</w:t>
                  </w:r>
                </w:p>
              </w:tc>
              <w:tc>
                <w:tcPr>
                  <w:tcW w:w="653" w:type="dxa"/>
                </w:tcPr>
                <w:p w14:paraId="39A7CCE7" w14:textId="77777777" w:rsidR="009F6C0B" w:rsidRPr="00ED64CA" w:rsidRDefault="008530DA" w:rsidP="009F6C0B">
                  <w:pPr>
                    <w:spacing w:before="40" w:after="40"/>
                    <w:jc w:val="center"/>
                    <w:rPr>
                      <w:b/>
                      <w:bCs/>
                      <w:sz w:val="20"/>
                      <w:szCs w:val="20"/>
                    </w:rPr>
                  </w:pPr>
                  <w:sdt>
                    <w:sdtPr>
                      <w:rPr>
                        <w:b/>
                        <w:bCs/>
                        <w:sz w:val="20"/>
                        <w:szCs w:val="20"/>
                      </w:rPr>
                      <w:id w:val="2710945"/>
                      <w14:checkbox>
                        <w14:checked w14:val="0"/>
                        <w14:checkedState w14:val="2612" w14:font="MS Gothic"/>
                        <w14:uncheckedState w14:val="2610" w14:font="MS Gothic"/>
                      </w14:checkbox>
                    </w:sdtPr>
                    <w:sdtContent>
                      <w:r w:rsidR="009F6C0B" w:rsidRPr="00ED64CA">
                        <w:rPr>
                          <w:rFonts w:ascii="MS Gothic" w:eastAsia="MS Gothic" w:hAnsi="MS Gothic" w:hint="eastAsia"/>
                          <w:b/>
                          <w:bCs/>
                          <w:sz w:val="20"/>
                          <w:szCs w:val="20"/>
                        </w:rPr>
                        <w:t>☐</w:t>
                      </w:r>
                    </w:sdtContent>
                  </w:sdt>
                  <w:r w:rsidR="009F6C0B" w:rsidRPr="00ED64CA">
                    <w:rPr>
                      <w:b/>
                      <w:bCs/>
                      <w:sz w:val="20"/>
                      <w:szCs w:val="20"/>
                    </w:rPr>
                    <w:t>4</w:t>
                  </w:r>
                </w:p>
              </w:tc>
            </w:tr>
          </w:tbl>
          <w:p w14:paraId="5DECD778" w14:textId="4F4C52C7" w:rsidR="009F6C0B" w:rsidRPr="00415948" w:rsidRDefault="009F6C0B" w:rsidP="0094375D">
            <w:pPr>
              <w:spacing w:beforeLines="40" w:before="96" w:afterLines="40" w:after="96"/>
              <w:rPr>
                <w:sz w:val="18"/>
                <w:szCs w:val="18"/>
              </w:rPr>
            </w:pPr>
          </w:p>
        </w:tc>
      </w:tr>
    </w:tbl>
    <w:p w14:paraId="0EA3E136" w14:textId="77777777" w:rsidR="00791569" w:rsidRPr="001F4170" w:rsidRDefault="00791569" w:rsidP="00791569">
      <w:pPr>
        <w:spacing w:after="0"/>
        <w:rPr>
          <w:sz w:val="12"/>
          <w:szCs w:val="12"/>
        </w:rPr>
      </w:pPr>
    </w:p>
    <w:tbl>
      <w:tblPr>
        <w:tblStyle w:val="TableGrid"/>
        <w:tblW w:w="14598" w:type="dxa"/>
        <w:tblBorders>
          <w:top w:val="single" w:sz="8" w:space="0" w:color="auto"/>
          <w:left w:val="single" w:sz="8"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4866"/>
        <w:gridCol w:w="4866"/>
        <w:gridCol w:w="4866"/>
      </w:tblGrid>
      <w:tr w:rsidR="00DF5779" w14:paraId="058FE7BD" w14:textId="77777777" w:rsidTr="00B817C1">
        <w:tc>
          <w:tcPr>
            <w:tcW w:w="4866" w:type="dxa"/>
            <w:tcBorders>
              <w:right w:val="single" w:sz="8" w:space="0" w:color="auto"/>
            </w:tcBorders>
            <w:shd w:val="clear" w:color="auto" w:fill="FFFAEF"/>
          </w:tcPr>
          <w:p w14:paraId="7EDC6729" w14:textId="153DC5C2" w:rsidR="00DF5779" w:rsidRPr="001B5583" w:rsidRDefault="00DE5D87" w:rsidP="00FD0F1A">
            <w:pPr>
              <w:spacing w:before="40" w:after="40"/>
              <w:jc w:val="center"/>
              <w:rPr>
                <w:b/>
                <w:sz w:val="20"/>
                <w:szCs w:val="20"/>
                <w:u w:val="single"/>
              </w:rPr>
            </w:pPr>
            <w:r>
              <w:rPr>
                <w:b/>
                <w:sz w:val="20"/>
                <w:szCs w:val="20"/>
                <w:u w:val="single"/>
              </w:rPr>
              <w:t>Greatest Strengths</w:t>
            </w:r>
            <w:r w:rsidRPr="001B5583">
              <w:rPr>
                <w:b/>
                <w:sz w:val="20"/>
                <w:szCs w:val="20"/>
                <w:u w:val="single"/>
              </w:rPr>
              <w:t xml:space="preserve"> </w:t>
            </w:r>
            <w:r w:rsidR="00DF5779" w:rsidRPr="001B5583">
              <w:rPr>
                <w:b/>
                <w:sz w:val="20"/>
                <w:szCs w:val="20"/>
                <w:u w:val="single"/>
              </w:rPr>
              <w:t xml:space="preserve">for </w:t>
            </w:r>
            <w:r w:rsidR="00403538">
              <w:rPr>
                <w:b/>
                <w:sz w:val="20"/>
                <w:szCs w:val="20"/>
                <w:u w:val="single"/>
              </w:rPr>
              <w:t>WBL</w:t>
            </w:r>
          </w:p>
          <w:p w14:paraId="686E9AF6" w14:textId="77777777" w:rsidR="00DF5779" w:rsidRPr="00C57918" w:rsidRDefault="00DF5779" w:rsidP="00053312">
            <w:pPr>
              <w:spacing w:before="40" w:after="40"/>
              <w:rPr>
                <w:sz w:val="18"/>
                <w:szCs w:val="18"/>
              </w:rPr>
            </w:pPr>
          </w:p>
          <w:p w14:paraId="763BAE00" w14:textId="77777777" w:rsidR="00DF5779" w:rsidRPr="00C57918" w:rsidRDefault="00DF5779" w:rsidP="00053312">
            <w:pPr>
              <w:spacing w:before="40" w:after="40"/>
              <w:rPr>
                <w:sz w:val="18"/>
                <w:szCs w:val="18"/>
              </w:rPr>
            </w:pPr>
          </w:p>
          <w:p w14:paraId="6A8F1FA6" w14:textId="77777777" w:rsidR="00DF5779" w:rsidRDefault="00DF5779" w:rsidP="00053312">
            <w:pPr>
              <w:spacing w:before="40" w:after="40"/>
              <w:rPr>
                <w:sz w:val="18"/>
                <w:szCs w:val="18"/>
              </w:rPr>
            </w:pPr>
          </w:p>
          <w:p w14:paraId="0FBE01A5" w14:textId="77777777" w:rsidR="00DF5779" w:rsidRDefault="00DF5779" w:rsidP="00053312">
            <w:pPr>
              <w:spacing w:before="40" w:after="40"/>
              <w:rPr>
                <w:sz w:val="18"/>
                <w:szCs w:val="18"/>
              </w:rPr>
            </w:pPr>
          </w:p>
          <w:p w14:paraId="0751BE5C" w14:textId="77777777" w:rsidR="00DF5779" w:rsidRDefault="00DF5779" w:rsidP="00053312">
            <w:pPr>
              <w:spacing w:before="40" w:after="40"/>
              <w:rPr>
                <w:sz w:val="18"/>
                <w:szCs w:val="18"/>
              </w:rPr>
            </w:pPr>
          </w:p>
          <w:p w14:paraId="6600715D" w14:textId="77777777" w:rsidR="00DF5779" w:rsidRDefault="00DF5779" w:rsidP="00053312">
            <w:pPr>
              <w:spacing w:before="40" w:after="40"/>
              <w:rPr>
                <w:sz w:val="18"/>
                <w:szCs w:val="18"/>
              </w:rPr>
            </w:pPr>
          </w:p>
          <w:p w14:paraId="3A09E17D" w14:textId="77777777" w:rsidR="00DF5779" w:rsidRDefault="00DF5779" w:rsidP="00053312">
            <w:pPr>
              <w:spacing w:before="40" w:after="40"/>
              <w:rPr>
                <w:sz w:val="18"/>
                <w:szCs w:val="18"/>
              </w:rPr>
            </w:pPr>
          </w:p>
          <w:p w14:paraId="74162466" w14:textId="77777777" w:rsidR="00DF5779" w:rsidRDefault="00DF5779" w:rsidP="00053312">
            <w:pPr>
              <w:spacing w:before="40" w:after="40"/>
              <w:rPr>
                <w:sz w:val="18"/>
                <w:szCs w:val="18"/>
              </w:rPr>
            </w:pPr>
          </w:p>
          <w:p w14:paraId="0026CA5E" w14:textId="77777777" w:rsidR="001B5583" w:rsidRDefault="001B5583" w:rsidP="00053312">
            <w:pPr>
              <w:spacing w:before="40" w:after="40"/>
              <w:rPr>
                <w:sz w:val="18"/>
                <w:szCs w:val="18"/>
              </w:rPr>
            </w:pPr>
          </w:p>
          <w:p w14:paraId="645DD588" w14:textId="77777777" w:rsidR="001B5583" w:rsidRDefault="001B5583" w:rsidP="00053312">
            <w:pPr>
              <w:spacing w:before="40" w:after="40"/>
              <w:rPr>
                <w:sz w:val="18"/>
                <w:szCs w:val="18"/>
              </w:rPr>
            </w:pPr>
          </w:p>
          <w:p w14:paraId="6575DBEF" w14:textId="77777777" w:rsidR="001B5583" w:rsidRDefault="001B5583" w:rsidP="00053312">
            <w:pPr>
              <w:spacing w:before="40" w:after="40"/>
              <w:rPr>
                <w:sz w:val="18"/>
                <w:szCs w:val="18"/>
              </w:rPr>
            </w:pPr>
          </w:p>
          <w:p w14:paraId="494A5DC5" w14:textId="77777777" w:rsidR="001B5583" w:rsidRDefault="001B5583" w:rsidP="00053312">
            <w:pPr>
              <w:spacing w:before="40" w:after="40"/>
              <w:rPr>
                <w:sz w:val="18"/>
                <w:szCs w:val="18"/>
              </w:rPr>
            </w:pPr>
          </w:p>
          <w:p w14:paraId="19D1E201" w14:textId="77777777" w:rsidR="001B5583" w:rsidRDefault="001B5583" w:rsidP="00053312">
            <w:pPr>
              <w:spacing w:before="40" w:after="40"/>
              <w:rPr>
                <w:sz w:val="18"/>
                <w:szCs w:val="18"/>
              </w:rPr>
            </w:pPr>
          </w:p>
          <w:p w14:paraId="3363DAB8" w14:textId="77777777" w:rsidR="001B5583" w:rsidRDefault="001B5583" w:rsidP="00053312">
            <w:pPr>
              <w:spacing w:before="40" w:after="40"/>
              <w:rPr>
                <w:sz w:val="18"/>
                <w:szCs w:val="18"/>
              </w:rPr>
            </w:pPr>
          </w:p>
          <w:p w14:paraId="30B4EB8F" w14:textId="77777777" w:rsidR="001B5583" w:rsidRDefault="001B5583" w:rsidP="00053312">
            <w:pPr>
              <w:spacing w:before="40" w:after="40"/>
              <w:rPr>
                <w:sz w:val="18"/>
                <w:szCs w:val="18"/>
              </w:rPr>
            </w:pPr>
          </w:p>
          <w:p w14:paraId="2D75D5F1" w14:textId="77777777" w:rsidR="001B5583" w:rsidRDefault="001B5583" w:rsidP="00053312">
            <w:pPr>
              <w:spacing w:before="40" w:after="40"/>
              <w:rPr>
                <w:sz w:val="18"/>
                <w:szCs w:val="18"/>
              </w:rPr>
            </w:pPr>
          </w:p>
          <w:p w14:paraId="58FEE0E6" w14:textId="77777777" w:rsidR="001B5583" w:rsidRDefault="001B5583" w:rsidP="00053312">
            <w:pPr>
              <w:spacing w:before="40" w:after="40"/>
              <w:rPr>
                <w:sz w:val="18"/>
                <w:szCs w:val="18"/>
              </w:rPr>
            </w:pPr>
          </w:p>
          <w:p w14:paraId="2EB8EB61" w14:textId="77777777" w:rsidR="001B5583" w:rsidRDefault="001B5583" w:rsidP="00053312">
            <w:pPr>
              <w:spacing w:before="40" w:after="40"/>
              <w:rPr>
                <w:sz w:val="18"/>
                <w:szCs w:val="18"/>
              </w:rPr>
            </w:pPr>
          </w:p>
          <w:p w14:paraId="0CD1DD0C" w14:textId="77777777" w:rsidR="001B5583" w:rsidRDefault="001B5583" w:rsidP="00053312">
            <w:pPr>
              <w:spacing w:before="40" w:after="40"/>
              <w:rPr>
                <w:sz w:val="18"/>
                <w:szCs w:val="18"/>
              </w:rPr>
            </w:pPr>
          </w:p>
          <w:p w14:paraId="281C570C" w14:textId="072AB797" w:rsidR="001B5583" w:rsidRDefault="001B5583" w:rsidP="00053312">
            <w:pPr>
              <w:spacing w:before="40" w:after="40"/>
              <w:rPr>
                <w:sz w:val="18"/>
                <w:szCs w:val="18"/>
              </w:rPr>
            </w:pPr>
          </w:p>
        </w:tc>
        <w:tc>
          <w:tcPr>
            <w:tcW w:w="4866" w:type="dxa"/>
            <w:tcBorders>
              <w:right w:val="single" w:sz="8" w:space="0" w:color="auto"/>
            </w:tcBorders>
            <w:shd w:val="clear" w:color="auto" w:fill="FFFAEF"/>
          </w:tcPr>
          <w:p w14:paraId="62442AA5" w14:textId="70B1D31E" w:rsidR="00DF5779" w:rsidRPr="001B5583" w:rsidRDefault="00DF5779" w:rsidP="00FD0F1A">
            <w:pPr>
              <w:spacing w:before="40" w:after="40"/>
              <w:jc w:val="center"/>
              <w:rPr>
                <w:b/>
                <w:sz w:val="20"/>
                <w:szCs w:val="20"/>
              </w:rPr>
            </w:pPr>
            <w:r w:rsidRPr="001B5583">
              <w:rPr>
                <w:b/>
                <w:sz w:val="20"/>
                <w:szCs w:val="20"/>
                <w:u w:val="single"/>
              </w:rPr>
              <w:t xml:space="preserve">Key Challenges for </w:t>
            </w:r>
            <w:r w:rsidR="00403538">
              <w:rPr>
                <w:b/>
                <w:sz w:val="20"/>
                <w:szCs w:val="20"/>
                <w:u w:val="single"/>
              </w:rPr>
              <w:t>WBL</w:t>
            </w:r>
          </w:p>
          <w:p w14:paraId="5CD0E3D3" w14:textId="77777777" w:rsidR="00DF5779" w:rsidRDefault="00DF5779" w:rsidP="00053312">
            <w:pPr>
              <w:spacing w:before="40" w:after="40"/>
              <w:rPr>
                <w:sz w:val="18"/>
                <w:szCs w:val="18"/>
              </w:rPr>
            </w:pPr>
          </w:p>
          <w:p w14:paraId="54C10C90" w14:textId="77777777" w:rsidR="00DF5779" w:rsidRDefault="00DF5779" w:rsidP="00053312">
            <w:pPr>
              <w:spacing w:before="40" w:after="40"/>
              <w:rPr>
                <w:sz w:val="18"/>
                <w:szCs w:val="18"/>
              </w:rPr>
            </w:pPr>
          </w:p>
        </w:tc>
        <w:tc>
          <w:tcPr>
            <w:tcW w:w="4866" w:type="dxa"/>
            <w:tcBorders>
              <w:right w:val="single" w:sz="8" w:space="0" w:color="auto"/>
            </w:tcBorders>
            <w:shd w:val="clear" w:color="auto" w:fill="FFFAEF"/>
          </w:tcPr>
          <w:p w14:paraId="0D0BD445" w14:textId="6755FD88" w:rsidR="00DF5779" w:rsidRPr="001B5583" w:rsidRDefault="00DE5D87" w:rsidP="00FD0F1A">
            <w:pPr>
              <w:spacing w:before="40" w:after="40"/>
              <w:jc w:val="center"/>
              <w:rPr>
                <w:sz w:val="20"/>
                <w:szCs w:val="20"/>
              </w:rPr>
            </w:pPr>
            <w:r>
              <w:rPr>
                <w:b/>
                <w:sz w:val="20"/>
                <w:szCs w:val="20"/>
                <w:u w:val="single"/>
              </w:rPr>
              <w:t xml:space="preserve">Top Priorities for </w:t>
            </w:r>
            <w:r w:rsidR="00403538">
              <w:rPr>
                <w:b/>
                <w:sz w:val="20"/>
                <w:szCs w:val="20"/>
                <w:u w:val="single"/>
              </w:rPr>
              <w:t>WBL</w:t>
            </w:r>
          </w:p>
          <w:p w14:paraId="19DB1A62" w14:textId="77777777" w:rsidR="00DF5779" w:rsidRPr="00C57918" w:rsidRDefault="00DF5779" w:rsidP="00053312">
            <w:pPr>
              <w:spacing w:before="40" w:after="40"/>
              <w:rPr>
                <w:sz w:val="18"/>
                <w:szCs w:val="18"/>
              </w:rPr>
            </w:pPr>
          </w:p>
        </w:tc>
      </w:tr>
    </w:tbl>
    <w:p w14:paraId="5717393D" w14:textId="77777777" w:rsidR="00D10AC0" w:rsidRDefault="00D10AC0"/>
    <w:p w14:paraId="625585AC" w14:textId="77777777" w:rsidR="00794AEB" w:rsidRDefault="00794AEB">
      <w:r>
        <w:br w:type="page"/>
      </w:r>
    </w:p>
    <w:tbl>
      <w:tblPr>
        <w:tblStyle w:val="TableGrid"/>
        <w:tblW w:w="14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60"/>
        <w:gridCol w:w="1038"/>
        <w:gridCol w:w="780"/>
        <w:gridCol w:w="1638"/>
        <w:gridCol w:w="2418"/>
        <w:gridCol w:w="840"/>
        <w:gridCol w:w="1578"/>
        <w:gridCol w:w="415"/>
        <w:gridCol w:w="2903"/>
      </w:tblGrid>
      <w:tr w:rsidR="006814D4" w14:paraId="152A07A2" w14:textId="77777777" w:rsidTr="00C04C7E">
        <w:tc>
          <w:tcPr>
            <w:tcW w:w="14688"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CB9F1BB" w14:textId="3CB72BA4" w:rsidR="006814D4" w:rsidRPr="00C04C7E" w:rsidRDefault="00C15803" w:rsidP="00053312">
            <w:pPr>
              <w:spacing w:before="40" w:after="40"/>
              <w:jc w:val="center"/>
              <w:rPr>
                <w:b/>
                <w:color w:val="002060"/>
                <w:sz w:val="20"/>
                <w:szCs w:val="20"/>
                <w:u w:val="single"/>
              </w:rPr>
            </w:pPr>
            <w:r w:rsidRPr="00C04C7E">
              <w:rPr>
                <w:b/>
                <w:color w:val="002060"/>
                <w:sz w:val="20"/>
                <w:szCs w:val="20"/>
                <w:u w:val="single"/>
              </w:rPr>
              <w:lastRenderedPageBreak/>
              <w:t>Priority 3</w:t>
            </w:r>
            <w:r w:rsidR="006814D4" w:rsidRPr="00C04C7E">
              <w:rPr>
                <w:b/>
                <w:color w:val="002060"/>
                <w:sz w:val="20"/>
                <w:szCs w:val="20"/>
                <w:u w:val="single"/>
              </w:rPr>
              <w:t xml:space="preserve">: </w:t>
            </w:r>
            <w:r w:rsidR="00887D17" w:rsidRPr="00C04C7E">
              <w:rPr>
                <w:b/>
                <w:color w:val="002060"/>
                <w:sz w:val="20"/>
                <w:szCs w:val="20"/>
                <w:u w:val="single"/>
              </w:rPr>
              <w:t>Seamless Transitions</w:t>
            </w:r>
            <w:r w:rsidR="00FA270B">
              <w:rPr>
                <w:b/>
                <w:color w:val="002060"/>
                <w:sz w:val="20"/>
                <w:szCs w:val="20"/>
                <w:u w:val="single"/>
              </w:rPr>
              <w:t xml:space="preserve"> to Support Postsecondary Success</w:t>
            </w:r>
          </w:p>
          <w:p w14:paraId="047B9C5B" w14:textId="4CB94E50" w:rsidR="00887D17" w:rsidRPr="006814D4" w:rsidRDefault="00887D17" w:rsidP="006814D4">
            <w:pPr>
              <w:spacing w:before="40" w:after="40"/>
              <w:rPr>
                <w:sz w:val="18"/>
                <w:szCs w:val="18"/>
              </w:rPr>
            </w:pPr>
            <w:r w:rsidRPr="00C04C7E">
              <w:rPr>
                <w:color w:val="002060"/>
                <w:sz w:val="18"/>
                <w:szCs w:val="18"/>
              </w:rPr>
              <w:t xml:space="preserve">Build systems and deepen partnerships to </w:t>
            </w:r>
            <w:r w:rsidR="00097861" w:rsidRPr="00C04C7E">
              <w:rPr>
                <w:color w:val="002060"/>
                <w:sz w:val="18"/>
                <w:szCs w:val="18"/>
              </w:rPr>
              <w:t xml:space="preserve">align </w:t>
            </w:r>
            <w:r w:rsidR="002B3C0C" w:rsidRPr="00C04C7E">
              <w:rPr>
                <w:color w:val="002060"/>
                <w:sz w:val="18"/>
                <w:szCs w:val="18"/>
              </w:rPr>
              <w:t>pathways</w:t>
            </w:r>
            <w:r w:rsidR="00097861" w:rsidRPr="00C04C7E">
              <w:rPr>
                <w:color w:val="002060"/>
                <w:sz w:val="18"/>
                <w:szCs w:val="18"/>
              </w:rPr>
              <w:t xml:space="preserve"> between K-12 and higher education</w:t>
            </w:r>
            <w:r w:rsidR="005F781D" w:rsidRPr="00C04C7E">
              <w:rPr>
                <w:color w:val="002060"/>
                <w:sz w:val="18"/>
                <w:szCs w:val="18"/>
              </w:rPr>
              <w:t>;</w:t>
            </w:r>
            <w:r w:rsidR="00097861" w:rsidRPr="00C04C7E">
              <w:rPr>
                <w:color w:val="002060"/>
                <w:sz w:val="18"/>
                <w:szCs w:val="18"/>
              </w:rPr>
              <w:t xml:space="preserve"> prepare students</w:t>
            </w:r>
            <w:r w:rsidR="009C77AF">
              <w:rPr>
                <w:color w:val="002060"/>
                <w:sz w:val="18"/>
                <w:szCs w:val="18"/>
              </w:rPr>
              <w:t xml:space="preserve"> enrolled in pathways</w:t>
            </w:r>
            <w:r w:rsidR="00097861" w:rsidRPr="00C04C7E">
              <w:rPr>
                <w:color w:val="002060"/>
                <w:sz w:val="18"/>
                <w:szCs w:val="18"/>
              </w:rPr>
              <w:t xml:space="preserve"> for credit-bearing college coursework</w:t>
            </w:r>
            <w:r w:rsidR="005F781D" w:rsidRPr="00C04C7E">
              <w:rPr>
                <w:color w:val="002060"/>
                <w:sz w:val="18"/>
                <w:szCs w:val="18"/>
              </w:rPr>
              <w:t>;</w:t>
            </w:r>
            <w:r w:rsidR="00097861" w:rsidRPr="00C04C7E">
              <w:rPr>
                <w:color w:val="002060"/>
                <w:sz w:val="18"/>
                <w:szCs w:val="18"/>
              </w:rPr>
              <w:t xml:space="preserve"> facilitate seamless</w:t>
            </w:r>
            <w:r w:rsidR="005F781D" w:rsidRPr="00C04C7E">
              <w:rPr>
                <w:color w:val="002060"/>
                <w:sz w:val="18"/>
                <w:szCs w:val="18"/>
              </w:rPr>
              <w:t xml:space="preserve"> student</w:t>
            </w:r>
            <w:r w:rsidR="00097861" w:rsidRPr="00C04C7E">
              <w:rPr>
                <w:color w:val="002060"/>
                <w:sz w:val="18"/>
                <w:szCs w:val="18"/>
              </w:rPr>
              <w:t xml:space="preserve"> transitions from high school </w:t>
            </w:r>
            <w:r w:rsidR="002B3C0C" w:rsidRPr="00C04C7E">
              <w:rPr>
                <w:color w:val="002060"/>
                <w:sz w:val="18"/>
                <w:szCs w:val="18"/>
              </w:rPr>
              <w:t>to</w:t>
            </w:r>
            <w:r w:rsidR="00097861" w:rsidRPr="00C04C7E">
              <w:rPr>
                <w:color w:val="002060"/>
                <w:sz w:val="18"/>
                <w:szCs w:val="18"/>
              </w:rPr>
              <w:t xml:space="preserve"> college</w:t>
            </w:r>
            <w:r w:rsidR="002B3C0C" w:rsidRPr="00C04C7E">
              <w:rPr>
                <w:color w:val="002060"/>
                <w:sz w:val="18"/>
                <w:szCs w:val="18"/>
              </w:rPr>
              <w:t xml:space="preserve"> pathways</w:t>
            </w:r>
            <w:r w:rsidR="00097861" w:rsidRPr="00C04C7E">
              <w:rPr>
                <w:color w:val="002060"/>
                <w:sz w:val="18"/>
                <w:szCs w:val="18"/>
              </w:rPr>
              <w:t>; and increase postsecondary credential attainment</w:t>
            </w:r>
            <w:r w:rsidR="002B3C0C" w:rsidRPr="00C04C7E">
              <w:rPr>
                <w:color w:val="002060"/>
                <w:sz w:val="18"/>
                <w:szCs w:val="18"/>
              </w:rPr>
              <w:t xml:space="preserve"> through pathways.</w:t>
            </w:r>
          </w:p>
        </w:tc>
      </w:tr>
      <w:tr w:rsidR="006814D4" w14:paraId="211DE22E" w14:textId="77777777" w:rsidTr="00792C9C">
        <w:tc>
          <w:tcPr>
            <w:tcW w:w="2418" w:type="dxa"/>
            <w:tcBorders>
              <w:top w:val="single" w:sz="8" w:space="0" w:color="auto"/>
            </w:tcBorders>
            <w:shd w:val="clear" w:color="auto" w:fill="auto"/>
          </w:tcPr>
          <w:p w14:paraId="08738AA7" w14:textId="77777777" w:rsidR="006814D4" w:rsidRPr="00462EC2" w:rsidRDefault="006814D4" w:rsidP="00053312">
            <w:pPr>
              <w:jc w:val="center"/>
              <w:rPr>
                <w:b/>
                <w:sz w:val="12"/>
                <w:szCs w:val="12"/>
                <w:u w:val="single"/>
              </w:rPr>
            </w:pPr>
          </w:p>
        </w:tc>
        <w:tc>
          <w:tcPr>
            <w:tcW w:w="1698" w:type="dxa"/>
            <w:gridSpan w:val="2"/>
            <w:tcBorders>
              <w:top w:val="single" w:sz="8" w:space="0" w:color="auto"/>
            </w:tcBorders>
            <w:shd w:val="clear" w:color="auto" w:fill="auto"/>
          </w:tcPr>
          <w:p w14:paraId="539AD001" w14:textId="77777777" w:rsidR="006814D4" w:rsidRPr="00462EC2" w:rsidRDefault="006814D4" w:rsidP="00053312">
            <w:pPr>
              <w:jc w:val="center"/>
              <w:rPr>
                <w:b/>
                <w:sz w:val="12"/>
                <w:szCs w:val="12"/>
                <w:u w:val="single"/>
              </w:rPr>
            </w:pPr>
          </w:p>
        </w:tc>
        <w:tc>
          <w:tcPr>
            <w:tcW w:w="2418" w:type="dxa"/>
            <w:gridSpan w:val="2"/>
            <w:tcBorders>
              <w:top w:val="single" w:sz="8" w:space="0" w:color="auto"/>
            </w:tcBorders>
            <w:shd w:val="clear" w:color="auto" w:fill="auto"/>
          </w:tcPr>
          <w:p w14:paraId="752A9E10" w14:textId="77777777" w:rsidR="006814D4" w:rsidRPr="00462EC2" w:rsidRDefault="006814D4" w:rsidP="00053312">
            <w:pPr>
              <w:jc w:val="center"/>
              <w:rPr>
                <w:b/>
                <w:sz w:val="12"/>
                <w:szCs w:val="12"/>
                <w:u w:val="single"/>
              </w:rPr>
            </w:pPr>
          </w:p>
        </w:tc>
        <w:tc>
          <w:tcPr>
            <w:tcW w:w="2418" w:type="dxa"/>
            <w:tcBorders>
              <w:top w:val="single" w:sz="8" w:space="0" w:color="auto"/>
            </w:tcBorders>
            <w:shd w:val="clear" w:color="auto" w:fill="auto"/>
          </w:tcPr>
          <w:p w14:paraId="7EFEB4A2" w14:textId="77777777" w:rsidR="006814D4" w:rsidRPr="00462EC2" w:rsidRDefault="006814D4" w:rsidP="00053312">
            <w:pPr>
              <w:jc w:val="center"/>
              <w:rPr>
                <w:b/>
                <w:sz w:val="12"/>
                <w:szCs w:val="12"/>
                <w:u w:val="single"/>
              </w:rPr>
            </w:pPr>
          </w:p>
        </w:tc>
        <w:tc>
          <w:tcPr>
            <w:tcW w:w="2418" w:type="dxa"/>
            <w:gridSpan w:val="2"/>
            <w:tcBorders>
              <w:top w:val="single" w:sz="8" w:space="0" w:color="auto"/>
            </w:tcBorders>
            <w:shd w:val="clear" w:color="auto" w:fill="auto"/>
          </w:tcPr>
          <w:p w14:paraId="0C64AF8E" w14:textId="77777777" w:rsidR="006814D4" w:rsidRPr="00462EC2" w:rsidRDefault="006814D4" w:rsidP="00053312">
            <w:pPr>
              <w:jc w:val="center"/>
              <w:rPr>
                <w:b/>
                <w:sz w:val="12"/>
                <w:szCs w:val="12"/>
                <w:u w:val="single"/>
              </w:rPr>
            </w:pPr>
          </w:p>
        </w:tc>
        <w:tc>
          <w:tcPr>
            <w:tcW w:w="3318" w:type="dxa"/>
            <w:gridSpan w:val="2"/>
            <w:tcBorders>
              <w:top w:val="single" w:sz="8" w:space="0" w:color="auto"/>
            </w:tcBorders>
            <w:shd w:val="clear" w:color="auto" w:fill="auto"/>
          </w:tcPr>
          <w:p w14:paraId="0DAF8214" w14:textId="77777777" w:rsidR="006814D4" w:rsidRPr="00462EC2" w:rsidRDefault="006814D4" w:rsidP="00053312">
            <w:pPr>
              <w:jc w:val="center"/>
              <w:rPr>
                <w:b/>
                <w:sz w:val="12"/>
                <w:szCs w:val="12"/>
                <w:u w:val="single"/>
              </w:rPr>
            </w:pPr>
          </w:p>
        </w:tc>
      </w:tr>
      <w:tr w:rsidR="00052D1B" w14:paraId="77A248CE"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44F3CBDD" w14:textId="0C6DD9D8" w:rsidR="00052D1B" w:rsidRPr="00052D1B" w:rsidRDefault="00052D1B" w:rsidP="00052D1B">
            <w:pPr>
              <w:spacing w:before="40" w:after="40"/>
              <w:jc w:val="center"/>
              <w:rPr>
                <w:b/>
                <w:sz w:val="20"/>
                <w:szCs w:val="20"/>
              </w:rPr>
            </w:pPr>
            <w:r w:rsidRPr="00052D1B">
              <w:rPr>
                <w:b/>
                <w:sz w:val="20"/>
                <w:szCs w:val="20"/>
              </w:rPr>
              <w:t>Target Outcomes</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57E0AF08" w14:textId="543CC8FB" w:rsidR="00052D1B" w:rsidRPr="00052D1B" w:rsidRDefault="00052D1B" w:rsidP="00052D1B">
            <w:pPr>
              <w:spacing w:before="40" w:after="40"/>
              <w:jc w:val="center"/>
              <w:rPr>
                <w:b/>
                <w:sz w:val="20"/>
                <w:szCs w:val="20"/>
              </w:rPr>
            </w:pPr>
            <w:r w:rsidRPr="00052D1B">
              <w:rPr>
                <w:b/>
                <w:sz w:val="20"/>
                <w:szCs w:val="20"/>
              </w:rPr>
              <w:t>Supporting Criteria</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61A7A643" w14:textId="077BF55E" w:rsidR="00052D1B" w:rsidRPr="00052D1B" w:rsidRDefault="00052D1B" w:rsidP="00052D1B">
            <w:pPr>
              <w:spacing w:before="40" w:after="40"/>
              <w:jc w:val="center"/>
              <w:rPr>
                <w:sz w:val="18"/>
                <w:szCs w:val="18"/>
              </w:rPr>
            </w:pPr>
            <w:r w:rsidRPr="00052D1B">
              <w:rPr>
                <w:b/>
                <w:sz w:val="20"/>
                <w:szCs w:val="20"/>
              </w:rPr>
              <w:t>Current Status</w:t>
            </w:r>
          </w:p>
        </w:tc>
      </w:tr>
      <w:tr w:rsidR="00052D1B" w14:paraId="299E8BA1"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3E3F8EE" w14:textId="74333AF2" w:rsidR="00052D1B" w:rsidRDefault="00052D1B" w:rsidP="00052D1B">
            <w:pPr>
              <w:spacing w:before="40" w:after="40"/>
              <w:ind w:left="360" w:hanging="331"/>
              <w:rPr>
                <w:sz w:val="18"/>
                <w:szCs w:val="18"/>
              </w:rPr>
            </w:pPr>
            <w:r>
              <w:rPr>
                <w:sz w:val="18"/>
                <w:szCs w:val="18"/>
              </w:rPr>
              <w:t>3</w:t>
            </w:r>
            <w:r w:rsidRPr="003B6205">
              <w:rPr>
                <w:sz w:val="18"/>
                <w:szCs w:val="18"/>
              </w:rPr>
              <w:t>a</w:t>
            </w:r>
            <w:r>
              <w:rPr>
                <w:sz w:val="18"/>
                <w:szCs w:val="18"/>
              </w:rPr>
              <w:t xml:space="preserve">.  </w:t>
            </w:r>
            <w:r>
              <w:rPr>
                <w:b/>
                <w:bCs/>
                <w:sz w:val="18"/>
                <w:szCs w:val="18"/>
              </w:rPr>
              <w:t xml:space="preserve">Seamless pathways: </w:t>
            </w:r>
            <w:r>
              <w:rPr>
                <w:sz w:val="18"/>
                <w:szCs w:val="18"/>
              </w:rPr>
              <w:t>Pathways begin in high school and culminate in a postsecondary credential or degree that opens doors to the workforce.</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2E316B48" w14:textId="1D04580A" w:rsidR="00052D1B" w:rsidRPr="00052D1B" w:rsidRDefault="00052D1B" w:rsidP="00052D1B">
            <w:pPr>
              <w:spacing w:before="40" w:after="40"/>
              <w:rPr>
                <w:b/>
                <w:sz w:val="20"/>
                <w:szCs w:val="20"/>
              </w:rPr>
            </w:pPr>
            <w:r w:rsidRPr="00052D1B">
              <w:rPr>
                <w:b/>
                <w:sz w:val="20"/>
                <w:szCs w:val="20"/>
              </w:rPr>
              <w:t xml:space="preserve">Target outcome 3a: </w:t>
            </w:r>
            <w:r w:rsidR="004C2C57">
              <w:rPr>
                <w:b/>
                <w:sz w:val="20"/>
                <w:szCs w:val="20"/>
              </w:rPr>
              <w:t>S</w:t>
            </w:r>
            <w:r w:rsidRPr="00052D1B">
              <w:rPr>
                <w:b/>
                <w:sz w:val="20"/>
                <w:szCs w:val="20"/>
              </w:rPr>
              <w:t>eamless pathways</w:t>
            </w:r>
            <w:r w:rsidR="004C2C57">
              <w:rPr>
                <w:b/>
                <w:sz w:val="20"/>
                <w:szCs w:val="20"/>
              </w:rPr>
              <w:t xml:space="preserve"> ensure smooth transitions and transfer of credit</w:t>
            </w:r>
          </w:p>
          <w:p w14:paraId="38ED7B94" w14:textId="19958BFD" w:rsidR="00052D1B" w:rsidRDefault="00052D1B" w:rsidP="00A44D7D">
            <w:pPr>
              <w:pStyle w:val="ListParagraph"/>
              <w:numPr>
                <w:ilvl w:val="0"/>
                <w:numId w:val="6"/>
              </w:numPr>
              <w:spacing w:before="40" w:after="40"/>
              <w:rPr>
                <w:sz w:val="18"/>
                <w:szCs w:val="18"/>
              </w:rPr>
            </w:pPr>
            <w:r>
              <w:rPr>
                <w:sz w:val="18"/>
                <w:szCs w:val="18"/>
              </w:rPr>
              <w:t>Opportunities are provided in every pathway to enable high school students to earn college credit toward degrees with labor market value, especially within technical course-taking (i.e. beyond general education); this may be achieved through concurrent enrollment, dual credit, early college models, and/or attainment of high-value industry-recognized credentials that count for college credit.</w:t>
            </w:r>
            <w:r>
              <w:rPr>
                <w:sz w:val="18"/>
                <w:szCs w:val="18"/>
              </w:rPr>
              <w:br/>
            </w:r>
          </w:p>
          <w:p w14:paraId="09AAAF1E" w14:textId="19283916" w:rsidR="00052D1B" w:rsidRDefault="00052D1B" w:rsidP="00A44D7D">
            <w:pPr>
              <w:pStyle w:val="ListParagraph"/>
              <w:numPr>
                <w:ilvl w:val="0"/>
                <w:numId w:val="6"/>
              </w:numPr>
              <w:spacing w:before="40" w:after="40"/>
              <w:rPr>
                <w:sz w:val="18"/>
                <w:szCs w:val="18"/>
              </w:rPr>
            </w:pPr>
            <w:r>
              <w:rPr>
                <w:sz w:val="18"/>
                <w:szCs w:val="18"/>
              </w:rPr>
              <w:t>S</w:t>
            </w:r>
            <w:r w:rsidRPr="003B6205">
              <w:rPr>
                <w:sz w:val="18"/>
                <w:szCs w:val="18"/>
              </w:rPr>
              <w:t>ystemic</w:t>
            </w:r>
            <w:r>
              <w:rPr>
                <w:sz w:val="18"/>
                <w:szCs w:val="18"/>
              </w:rPr>
              <w:t xml:space="preserve"> state and/or local</w:t>
            </w:r>
            <w:r w:rsidRPr="003B6205">
              <w:rPr>
                <w:sz w:val="18"/>
                <w:szCs w:val="18"/>
              </w:rPr>
              <w:t xml:space="preserve"> articulation agreements between secondary and postsecondary</w:t>
            </w:r>
            <w:r>
              <w:rPr>
                <w:sz w:val="18"/>
                <w:szCs w:val="18"/>
              </w:rPr>
              <w:t xml:space="preserve"> institutions</w:t>
            </w:r>
            <w:r w:rsidRPr="003B6205">
              <w:rPr>
                <w:sz w:val="18"/>
                <w:szCs w:val="18"/>
              </w:rPr>
              <w:t xml:space="preserve"> </w:t>
            </w:r>
            <w:r>
              <w:rPr>
                <w:sz w:val="18"/>
                <w:szCs w:val="18"/>
              </w:rPr>
              <w:t>are in place</w:t>
            </w:r>
            <w:r w:rsidRPr="003B6205">
              <w:rPr>
                <w:sz w:val="18"/>
                <w:szCs w:val="18"/>
              </w:rPr>
              <w:t xml:space="preserve"> to award credit to high school students who complete </w:t>
            </w:r>
            <w:r>
              <w:rPr>
                <w:sz w:val="18"/>
                <w:szCs w:val="18"/>
              </w:rPr>
              <w:t>postsecondary</w:t>
            </w:r>
            <w:r w:rsidRPr="003B6205">
              <w:rPr>
                <w:sz w:val="18"/>
                <w:szCs w:val="18"/>
              </w:rPr>
              <w:t xml:space="preserve"> coursework in priority sectors</w:t>
            </w:r>
            <w:r>
              <w:rPr>
                <w:sz w:val="18"/>
                <w:szCs w:val="18"/>
              </w:rPr>
              <w:t>.</w:t>
            </w:r>
            <w:r>
              <w:rPr>
                <w:sz w:val="18"/>
                <w:szCs w:val="18"/>
              </w:rPr>
              <w:br/>
            </w:r>
          </w:p>
          <w:p w14:paraId="740CB6E9" w14:textId="6ED3F84D" w:rsidR="00052D1B" w:rsidRDefault="00052D1B" w:rsidP="00A44D7D">
            <w:pPr>
              <w:pStyle w:val="ListParagraph"/>
              <w:numPr>
                <w:ilvl w:val="0"/>
                <w:numId w:val="6"/>
              </w:numPr>
              <w:spacing w:before="40" w:after="40"/>
              <w:rPr>
                <w:sz w:val="18"/>
                <w:szCs w:val="18"/>
              </w:rPr>
            </w:pPr>
            <w:r>
              <w:rPr>
                <w:sz w:val="18"/>
                <w:szCs w:val="18"/>
              </w:rPr>
              <w:t>Articulation</w:t>
            </w:r>
            <w:r w:rsidR="004C2C57">
              <w:rPr>
                <w:sz w:val="18"/>
                <w:szCs w:val="18"/>
              </w:rPr>
              <w:t xml:space="preserve">, </w:t>
            </w:r>
            <w:r>
              <w:rPr>
                <w:sz w:val="18"/>
                <w:szCs w:val="18"/>
              </w:rPr>
              <w:t>transfer</w:t>
            </w:r>
            <w:r w:rsidR="004C2C57">
              <w:rPr>
                <w:sz w:val="18"/>
                <w:szCs w:val="18"/>
              </w:rPr>
              <w:t xml:space="preserve">, and/or </w:t>
            </w:r>
            <w:r>
              <w:rPr>
                <w:sz w:val="18"/>
                <w:szCs w:val="18"/>
              </w:rPr>
              <w:t>credit for prior learning opportunities are established within every pathway to related programs at two- and four-year institutions of higher education.</w:t>
            </w:r>
            <w:r>
              <w:rPr>
                <w:sz w:val="18"/>
                <w:szCs w:val="18"/>
              </w:rPr>
              <w:br/>
            </w:r>
          </w:p>
          <w:p w14:paraId="26D1FE82" w14:textId="20802117" w:rsidR="00052D1B" w:rsidRDefault="00052D1B" w:rsidP="00A44D7D">
            <w:pPr>
              <w:pStyle w:val="ListParagraph"/>
              <w:numPr>
                <w:ilvl w:val="0"/>
                <w:numId w:val="6"/>
              </w:numPr>
              <w:spacing w:before="40" w:after="40"/>
              <w:rPr>
                <w:sz w:val="18"/>
                <w:szCs w:val="18"/>
              </w:rPr>
            </w:pPr>
            <w:r>
              <w:rPr>
                <w:sz w:val="18"/>
                <w:szCs w:val="18"/>
              </w:rPr>
              <w:t>Those articulation</w:t>
            </w:r>
            <w:r w:rsidR="004C2C57">
              <w:rPr>
                <w:sz w:val="18"/>
                <w:szCs w:val="18"/>
              </w:rPr>
              <w:t xml:space="preserve">, </w:t>
            </w:r>
            <w:r>
              <w:rPr>
                <w:sz w:val="18"/>
                <w:szCs w:val="18"/>
              </w:rPr>
              <w:t>transfer</w:t>
            </w:r>
            <w:r w:rsidR="004C2C57">
              <w:rPr>
                <w:sz w:val="18"/>
                <w:szCs w:val="18"/>
              </w:rPr>
              <w:t>, and/or c</w:t>
            </w:r>
            <w:r>
              <w:rPr>
                <w:sz w:val="18"/>
                <w:szCs w:val="18"/>
              </w:rPr>
              <w:t>redit for prior learning opportunities are leveraged across postsecondary partners to shorten students’ time to degree/credential completion.</w:t>
            </w:r>
            <w:r>
              <w:rPr>
                <w:sz w:val="18"/>
                <w:szCs w:val="18"/>
              </w:rPr>
              <w:br/>
            </w:r>
          </w:p>
          <w:p w14:paraId="3BD1B6D3" w14:textId="23F0C414" w:rsidR="00052D1B" w:rsidRPr="00052D1B" w:rsidRDefault="00052D1B" w:rsidP="00A44D7D">
            <w:pPr>
              <w:pStyle w:val="ListParagraph"/>
              <w:numPr>
                <w:ilvl w:val="0"/>
                <w:numId w:val="6"/>
              </w:numPr>
              <w:spacing w:before="40" w:after="40"/>
              <w:rPr>
                <w:sz w:val="18"/>
                <w:szCs w:val="18"/>
              </w:rPr>
            </w:pPr>
            <w:r>
              <w:rPr>
                <w:sz w:val="18"/>
                <w:szCs w:val="18"/>
              </w:rPr>
              <w:t>K-12 and postsecondary standards are linked so that the knowledge and skills expected of high school pathway completers is aligned with expectations for entry into postsecondary credit-bearing coursework within a related degree program.</w:t>
            </w:r>
            <w:r>
              <w:rPr>
                <w:sz w:val="18"/>
                <w:szCs w:val="18"/>
              </w:rPr>
              <w:br/>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1DE5D89D"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4E65CD1C" w14:textId="77777777" w:rsidTr="00497913">
              <w:tc>
                <w:tcPr>
                  <w:tcW w:w="652" w:type="dxa"/>
                </w:tcPr>
                <w:p w14:paraId="45340E86" w14:textId="77777777" w:rsidR="00052D1B" w:rsidRPr="00ED64CA" w:rsidRDefault="008530DA" w:rsidP="00052D1B">
                  <w:pPr>
                    <w:spacing w:before="40" w:after="40"/>
                    <w:jc w:val="center"/>
                    <w:rPr>
                      <w:b/>
                      <w:bCs/>
                      <w:sz w:val="20"/>
                      <w:szCs w:val="20"/>
                    </w:rPr>
                  </w:pPr>
                  <w:sdt>
                    <w:sdtPr>
                      <w:rPr>
                        <w:b/>
                        <w:bCs/>
                        <w:sz w:val="20"/>
                        <w:szCs w:val="20"/>
                      </w:rPr>
                      <w:id w:val="728193400"/>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791E05A4" w14:textId="77777777" w:rsidR="00052D1B" w:rsidRPr="00ED64CA" w:rsidRDefault="008530DA" w:rsidP="00052D1B">
                  <w:pPr>
                    <w:spacing w:before="40" w:after="40"/>
                    <w:jc w:val="center"/>
                    <w:rPr>
                      <w:b/>
                      <w:bCs/>
                      <w:sz w:val="20"/>
                      <w:szCs w:val="20"/>
                    </w:rPr>
                  </w:pPr>
                  <w:sdt>
                    <w:sdtPr>
                      <w:rPr>
                        <w:b/>
                        <w:bCs/>
                        <w:sz w:val="20"/>
                        <w:szCs w:val="20"/>
                      </w:rPr>
                      <w:id w:val="-1251965785"/>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0FCB520D" w14:textId="77777777" w:rsidR="00052D1B" w:rsidRPr="00ED64CA" w:rsidRDefault="008530DA" w:rsidP="00052D1B">
                  <w:pPr>
                    <w:spacing w:before="40" w:after="40"/>
                    <w:jc w:val="center"/>
                    <w:rPr>
                      <w:b/>
                      <w:bCs/>
                      <w:sz w:val="20"/>
                      <w:szCs w:val="20"/>
                    </w:rPr>
                  </w:pPr>
                  <w:sdt>
                    <w:sdtPr>
                      <w:rPr>
                        <w:b/>
                        <w:bCs/>
                        <w:sz w:val="20"/>
                        <w:szCs w:val="20"/>
                      </w:rPr>
                      <w:id w:val="1726645919"/>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06177EBD" w14:textId="77777777" w:rsidR="00052D1B" w:rsidRPr="00ED64CA" w:rsidRDefault="008530DA" w:rsidP="00052D1B">
                  <w:pPr>
                    <w:spacing w:before="40" w:after="40"/>
                    <w:jc w:val="center"/>
                    <w:rPr>
                      <w:b/>
                      <w:bCs/>
                      <w:sz w:val="20"/>
                      <w:szCs w:val="20"/>
                    </w:rPr>
                  </w:pPr>
                  <w:sdt>
                    <w:sdtPr>
                      <w:rPr>
                        <w:b/>
                        <w:bCs/>
                        <w:sz w:val="20"/>
                        <w:szCs w:val="20"/>
                      </w:rPr>
                      <w:id w:val="-420641217"/>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4A9CFC12" w14:textId="77777777" w:rsidR="00052D1B" w:rsidRDefault="00052D1B" w:rsidP="00052D1B">
            <w:pPr>
              <w:spacing w:before="40" w:after="40"/>
              <w:rPr>
                <w:sz w:val="18"/>
                <w:szCs w:val="18"/>
              </w:rPr>
            </w:pPr>
          </w:p>
          <w:p w14:paraId="3BDD29AC" w14:textId="77777777" w:rsidR="00052D1B" w:rsidRDefault="00052D1B" w:rsidP="00052D1B">
            <w:pPr>
              <w:spacing w:before="40" w:after="40"/>
              <w:rPr>
                <w:sz w:val="18"/>
                <w:szCs w:val="18"/>
              </w:rPr>
            </w:pPr>
          </w:p>
          <w:p w14:paraId="123059D0"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04966DC6" w14:textId="77777777" w:rsidTr="00497913">
              <w:tc>
                <w:tcPr>
                  <w:tcW w:w="652" w:type="dxa"/>
                </w:tcPr>
                <w:p w14:paraId="2EDB4CC1" w14:textId="77777777" w:rsidR="00052D1B" w:rsidRPr="00ED64CA" w:rsidRDefault="008530DA" w:rsidP="00052D1B">
                  <w:pPr>
                    <w:spacing w:before="40" w:after="40"/>
                    <w:jc w:val="center"/>
                    <w:rPr>
                      <w:b/>
                      <w:bCs/>
                      <w:sz w:val="20"/>
                      <w:szCs w:val="20"/>
                    </w:rPr>
                  </w:pPr>
                  <w:sdt>
                    <w:sdtPr>
                      <w:rPr>
                        <w:b/>
                        <w:bCs/>
                        <w:sz w:val="20"/>
                        <w:szCs w:val="20"/>
                      </w:rPr>
                      <w:id w:val="-941377256"/>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2E1C4196" w14:textId="77777777" w:rsidR="00052D1B" w:rsidRPr="00ED64CA" w:rsidRDefault="008530DA" w:rsidP="00052D1B">
                  <w:pPr>
                    <w:spacing w:before="40" w:after="40"/>
                    <w:jc w:val="center"/>
                    <w:rPr>
                      <w:b/>
                      <w:bCs/>
                      <w:sz w:val="20"/>
                      <w:szCs w:val="20"/>
                    </w:rPr>
                  </w:pPr>
                  <w:sdt>
                    <w:sdtPr>
                      <w:rPr>
                        <w:b/>
                        <w:bCs/>
                        <w:sz w:val="20"/>
                        <w:szCs w:val="20"/>
                      </w:rPr>
                      <w:id w:val="1045951799"/>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0D0CD72F" w14:textId="77777777" w:rsidR="00052D1B" w:rsidRPr="00ED64CA" w:rsidRDefault="008530DA" w:rsidP="00052D1B">
                  <w:pPr>
                    <w:spacing w:before="40" w:after="40"/>
                    <w:jc w:val="center"/>
                    <w:rPr>
                      <w:b/>
                      <w:bCs/>
                      <w:sz w:val="20"/>
                      <w:szCs w:val="20"/>
                    </w:rPr>
                  </w:pPr>
                  <w:sdt>
                    <w:sdtPr>
                      <w:rPr>
                        <w:b/>
                        <w:bCs/>
                        <w:sz w:val="20"/>
                        <w:szCs w:val="20"/>
                      </w:rPr>
                      <w:id w:val="-1395965718"/>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40A7E8B0" w14:textId="77777777" w:rsidR="00052D1B" w:rsidRPr="00ED64CA" w:rsidRDefault="008530DA" w:rsidP="00052D1B">
                  <w:pPr>
                    <w:spacing w:before="40" w:after="40"/>
                    <w:jc w:val="center"/>
                    <w:rPr>
                      <w:b/>
                      <w:bCs/>
                      <w:sz w:val="20"/>
                      <w:szCs w:val="20"/>
                    </w:rPr>
                  </w:pPr>
                  <w:sdt>
                    <w:sdtPr>
                      <w:rPr>
                        <w:b/>
                        <w:bCs/>
                        <w:sz w:val="20"/>
                        <w:szCs w:val="20"/>
                      </w:rPr>
                      <w:id w:val="-1704240371"/>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40D8EC50"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26D6F3DF" w14:textId="77777777" w:rsidTr="00497913">
              <w:tc>
                <w:tcPr>
                  <w:tcW w:w="652" w:type="dxa"/>
                </w:tcPr>
                <w:p w14:paraId="18085A68" w14:textId="77777777" w:rsidR="00052D1B" w:rsidRPr="00ED64CA" w:rsidRDefault="008530DA" w:rsidP="00052D1B">
                  <w:pPr>
                    <w:spacing w:before="40" w:after="40"/>
                    <w:jc w:val="center"/>
                    <w:rPr>
                      <w:b/>
                      <w:bCs/>
                      <w:sz w:val="20"/>
                      <w:szCs w:val="20"/>
                    </w:rPr>
                  </w:pPr>
                  <w:sdt>
                    <w:sdtPr>
                      <w:rPr>
                        <w:b/>
                        <w:bCs/>
                        <w:sz w:val="20"/>
                        <w:szCs w:val="20"/>
                      </w:rPr>
                      <w:id w:val="-1176727532"/>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1380F557" w14:textId="77777777" w:rsidR="00052D1B" w:rsidRPr="00ED64CA" w:rsidRDefault="008530DA" w:rsidP="00052D1B">
                  <w:pPr>
                    <w:spacing w:before="40" w:after="40"/>
                    <w:jc w:val="center"/>
                    <w:rPr>
                      <w:b/>
                      <w:bCs/>
                      <w:sz w:val="20"/>
                      <w:szCs w:val="20"/>
                    </w:rPr>
                  </w:pPr>
                  <w:sdt>
                    <w:sdtPr>
                      <w:rPr>
                        <w:b/>
                        <w:bCs/>
                        <w:sz w:val="20"/>
                        <w:szCs w:val="20"/>
                      </w:rPr>
                      <w:id w:val="-1154215061"/>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5550CEDD" w14:textId="77777777" w:rsidR="00052D1B" w:rsidRPr="00ED64CA" w:rsidRDefault="008530DA" w:rsidP="00052D1B">
                  <w:pPr>
                    <w:spacing w:before="40" w:after="40"/>
                    <w:jc w:val="center"/>
                    <w:rPr>
                      <w:b/>
                      <w:bCs/>
                      <w:sz w:val="20"/>
                      <w:szCs w:val="20"/>
                    </w:rPr>
                  </w:pPr>
                  <w:sdt>
                    <w:sdtPr>
                      <w:rPr>
                        <w:b/>
                        <w:bCs/>
                        <w:sz w:val="20"/>
                        <w:szCs w:val="20"/>
                      </w:rPr>
                      <w:id w:val="1257715963"/>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181CE056" w14:textId="77777777" w:rsidR="00052D1B" w:rsidRPr="00ED64CA" w:rsidRDefault="008530DA" w:rsidP="00052D1B">
                  <w:pPr>
                    <w:spacing w:before="40" w:after="40"/>
                    <w:jc w:val="center"/>
                    <w:rPr>
                      <w:b/>
                      <w:bCs/>
                      <w:sz w:val="20"/>
                      <w:szCs w:val="20"/>
                    </w:rPr>
                  </w:pPr>
                  <w:sdt>
                    <w:sdtPr>
                      <w:rPr>
                        <w:b/>
                        <w:bCs/>
                        <w:sz w:val="20"/>
                        <w:szCs w:val="20"/>
                      </w:rPr>
                      <w:id w:val="879759441"/>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5596637F"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37066C46" w14:textId="77777777" w:rsidTr="00497913">
              <w:tc>
                <w:tcPr>
                  <w:tcW w:w="652" w:type="dxa"/>
                </w:tcPr>
                <w:p w14:paraId="347D11E4" w14:textId="77777777" w:rsidR="00052D1B" w:rsidRPr="00ED64CA" w:rsidRDefault="008530DA" w:rsidP="00052D1B">
                  <w:pPr>
                    <w:spacing w:before="40" w:after="40"/>
                    <w:jc w:val="center"/>
                    <w:rPr>
                      <w:b/>
                      <w:bCs/>
                      <w:sz w:val="20"/>
                      <w:szCs w:val="20"/>
                    </w:rPr>
                  </w:pPr>
                  <w:sdt>
                    <w:sdtPr>
                      <w:rPr>
                        <w:b/>
                        <w:bCs/>
                        <w:sz w:val="20"/>
                        <w:szCs w:val="20"/>
                      </w:rPr>
                      <w:id w:val="182948975"/>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3D241A24" w14:textId="77777777" w:rsidR="00052D1B" w:rsidRPr="00ED64CA" w:rsidRDefault="008530DA" w:rsidP="00052D1B">
                  <w:pPr>
                    <w:spacing w:before="40" w:after="40"/>
                    <w:jc w:val="center"/>
                    <w:rPr>
                      <w:b/>
                      <w:bCs/>
                      <w:sz w:val="20"/>
                      <w:szCs w:val="20"/>
                    </w:rPr>
                  </w:pPr>
                  <w:sdt>
                    <w:sdtPr>
                      <w:rPr>
                        <w:b/>
                        <w:bCs/>
                        <w:sz w:val="20"/>
                        <w:szCs w:val="20"/>
                      </w:rPr>
                      <w:id w:val="-1294053485"/>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2D0BA767" w14:textId="77777777" w:rsidR="00052D1B" w:rsidRPr="00ED64CA" w:rsidRDefault="008530DA" w:rsidP="00052D1B">
                  <w:pPr>
                    <w:spacing w:before="40" w:after="40"/>
                    <w:jc w:val="center"/>
                    <w:rPr>
                      <w:b/>
                      <w:bCs/>
                      <w:sz w:val="20"/>
                      <w:szCs w:val="20"/>
                    </w:rPr>
                  </w:pPr>
                  <w:sdt>
                    <w:sdtPr>
                      <w:rPr>
                        <w:b/>
                        <w:bCs/>
                        <w:sz w:val="20"/>
                        <w:szCs w:val="20"/>
                      </w:rPr>
                      <w:id w:val="516052777"/>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3321E978" w14:textId="77777777" w:rsidR="00052D1B" w:rsidRPr="00ED64CA" w:rsidRDefault="008530DA" w:rsidP="00052D1B">
                  <w:pPr>
                    <w:spacing w:before="40" w:after="40"/>
                    <w:jc w:val="center"/>
                    <w:rPr>
                      <w:b/>
                      <w:bCs/>
                      <w:sz w:val="20"/>
                      <w:szCs w:val="20"/>
                    </w:rPr>
                  </w:pPr>
                  <w:sdt>
                    <w:sdtPr>
                      <w:rPr>
                        <w:b/>
                        <w:bCs/>
                        <w:sz w:val="20"/>
                        <w:szCs w:val="20"/>
                      </w:rPr>
                      <w:id w:val="565384511"/>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6C2373B0"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163CFDAE" w14:textId="77777777" w:rsidTr="00497913">
              <w:tc>
                <w:tcPr>
                  <w:tcW w:w="652" w:type="dxa"/>
                </w:tcPr>
                <w:p w14:paraId="039A1EB3" w14:textId="77777777" w:rsidR="00052D1B" w:rsidRPr="00ED64CA" w:rsidRDefault="008530DA" w:rsidP="00052D1B">
                  <w:pPr>
                    <w:spacing w:before="40" w:after="40"/>
                    <w:jc w:val="center"/>
                    <w:rPr>
                      <w:b/>
                      <w:bCs/>
                      <w:sz w:val="20"/>
                      <w:szCs w:val="20"/>
                    </w:rPr>
                  </w:pPr>
                  <w:sdt>
                    <w:sdtPr>
                      <w:rPr>
                        <w:b/>
                        <w:bCs/>
                        <w:sz w:val="20"/>
                        <w:szCs w:val="20"/>
                      </w:rPr>
                      <w:id w:val="1311990019"/>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4A9870C6" w14:textId="77777777" w:rsidR="00052D1B" w:rsidRPr="00ED64CA" w:rsidRDefault="008530DA" w:rsidP="00052D1B">
                  <w:pPr>
                    <w:spacing w:before="40" w:after="40"/>
                    <w:jc w:val="center"/>
                    <w:rPr>
                      <w:b/>
                      <w:bCs/>
                      <w:sz w:val="20"/>
                      <w:szCs w:val="20"/>
                    </w:rPr>
                  </w:pPr>
                  <w:sdt>
                    <w:sdtPr>
                      <w:rPr>
                        <w:b/>
                        <w:bCs/>
                        <w:sz w:val="20"/>
                        <w:szCs w:val="20"/>
                      </w:rPr>
                      <w:id w:val="108322076"/>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552B3B2A" w14:textId="77777777" w:rsidR="00052D1B" w:rsidRPr="00ED64CA" w:rsidRDefault="008530DA" w:rsidP="00052D1B">
                  <w:pPr>
                    <w:spacing w:before="40" w:after="40"/>
                    <w:jc w:val="center"/>
                    <w:rPr>
                      <w:b/>
                      <w:bCs/>
                      <w:sz w:val="20"/>
                      <w:szCs w:val="20"/>
                    </w:rPr>
                  </w:pPr>
                  <w:sdt>
                    <w:sdtPr>
                      <w:rPr>
                        <w:b/>
                        <w:bCs/>
                        <w:sz w:val="20"/>
                        <w:szCs w:val="20"/>
                      </w:rPr>
                      <w:id w:val="-386721765"/>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76898EEC" w14:textId="77777777" w:rsidR="00052D1B" w:rsidRPr="00ED64CA" w:rsidRDefault="008530DA" w:rsidP="00052D1B">
                  <w:pPr>
                    <w:spacing w:before="40" w:after="40"/>
                    <w:jc w:val="center"/>
                    <w:rPr>
                      <w:b/>
                      <w:bCs/>
                      <w:sz w:val="20"/>
                      <w:szCs w:val="20"/>
                    </w:rPr>
                  </w:pPr>
                  <w:sdt>
                    <w:sdtPr>
                      <w:rPr>
                        <w:b/>
                        <w:bCs/>
                        <w:sz w:val="20"/>
                        <w:szCs w:val="20"/>
                      </w:rPr>
                      <w:id w:val="153726113"/>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775F99DC" w14:textId="0C747E71" w:rsidR="00052D1B" w:rsidRPr="00052D1B" w:rsidRDefault="00052D1B" w:rsidP="00052D1B">
            <w:pPr>
              <w:spacing w:before="40" w:after="40"/>
              <w:rPr>
                <w:sz w:val="18"/>
                <w:szCs w:val="18"/>
              </w:rPr>
            </w:pPr>
          </w:p>
        </w:tc>
      </w:tr>
      <w:tr w:rsidR="00052D1B" w14:paraId="0F9E3E45"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5040D524" w14:textId="0934B879" w:rsidR="00052D1B" w:rsidRDefault="00052D1B" w:rsidP="00052D1B">
            <w:pPr>
              <w:spacing w:before="40" w:after="40"/>
              <w:ind w:left="360" w:hanging="331"/>
              <w:rPr>
                <w:sz w:val="18"/>
                <w:szCs w:val="18"/>
              </w:rPr>
            </w:pPr>
            <w:r>
              <w:rPr>
                <w:sz w:val="18"/>
                <w:szCs w:val="18"/>
              </w:rPr>
              <w:t>3</w:t>
            </w:r>
            <w:r w:rsidRPr="003B6205">
              <w:rPr>
                <w:sz w:val="18"/>
                <w:szCs w:val="18"/>
              </w:rPr>
              <w:t xml:space="preserve">b.  </w:t>
            </w:r>
            <w:r>
              <w:rPr>
                <w:b/>
                <w:bCs/>
                <w:sz w:val="18"/>
                <w:szCs w:val="18"/>
              </w:rPr>
              <w:t>Postsecondary success strategies designed jointly by K-12 and postsecondary:</w:t>
            </w:r>
            <w:r>
              <w:rPr>
                <w:sz w:val="18"/>
                <w:szCs w:val="18"/>
              </w:rPr>
              <w:t xml:space="preserve"> Strategic policies and practices are established to build the readiness of pathways students for postsecondary expectations and support them in successfully making the transition.</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54BBD8E9" w14:textId="77777777" w:rsidR="00052D1B" w:rsidRPr="00052D1B" w:rsidRDefault="00052D1B" w:rsidP="00052D1B">
            <w:pPr>
              <w:spacing w:before="40" w:after="40"/>
              <w:rPr>
                <w:sz w:val="20"/>
                <w:szCs w:val="20"/>
              </w:rPr>
            </w:pPr>
            <w:r w:rsidRPr="00052D1B">
              <w:rPr>
                <w:b/>
                <w:bCs/>
                <w:sz w:val="20"/>
                <w:szCs w:val="20"/>
              </w:rPr>
              <w:t>Target outcome 3b: Postsecondary success strategies designed jointly by K-12 and postsecondary</w:t>
            </w:r>
          </w:p>
          <w:p w14:paraId="457D48B2" w14:textId="7BDF94C3" w:rsidR="00052D1B" w:rsidRPr="00095CAE" w:rsidRDefault="00052D1B" w:rsidP="00A44D7D">
            <w:pPr>
              <w:pStyle w:val="ListParagraph"/>
              <w:numPr>
                <w:ilvl w:val="0"/>
                <w:numId w:val="16"/>
              </w:numPr>
              <w:spacing w:before="40" w:after="40"/>
              <w:ind w:left="405"/>
              <w:rPr>
                <w:sz w:val="18"/>
                <w:szCs w:val="18"/>
              </w:rPr>
            </w:pPr>
            <w:r w:rsidRPr="00095CAE">
              <w:rPr>
                <w:sz w:val="18"/>
                <w:szCs w:val="18"/>
              </w:rPr>
              <w:t>Processes are in place to identify students</w:t>
            </w:r>
            <w:r w:rsidR="00095CAE">
              <w:rPr>
                <w:sz w:val="18"/>
                <w:szCs w:val="18"/>
              </w:rPr>
              <w:t xml:space="preserve"> enrolled in pathways</w:t>
            </w:r>
            <w:r w:rsidRPr="00095CAE">
              <w:rPr>
                <w:sz w:val="18"/>
                <w:szCs w:val="18"/>
              </w:rPr>
              <w:t xml:space="preserve"> who are off track in demonstrating postsecondary readiness while in high school.</w:t>
            </w:r>
            <w:r w:rsidRPr="00095CAE">
              <w:rPr>
                <w:sz w:val="18"/>
                <w:szCs w:val="18"/>
              </w:rPr>
              <w:br/>
            </w:r>
          </w:p>
          <w:p w14:paraId="725ABDA3" w14:textId="4793611A" w:rsidR="00052D1B" w:rsidRDefault="00052D1B" w:rsidP="00A44D7D">
            <w:pPr>
              <w:pStyle w:val="ListParagraph"/>
              <w:numPr>
                <w:ilvl w:val="0"/>
                <w:numId w:val="16"/>
              </w:numPr>
              <w:spacing w:before="40" w:after="40"/>
              <w:ind w:left="405"/>
              <w:rPr>
                <w:sz w:val="18"/>
                <w:szCs w:val="18"/>
              </w:rPr>
            </w:pPr>
            <w:r>
              <w:rPr>
                <w:sz w:val="18"/>
                <w:szCs w:val="18"/>
              </w:rPr>
              <w:t>Bridge courses in English language arts and mathematics are offered in the senior year to students</w:t>
            </w:r>
            <w:r w:rsidR="00095CAE">
              <w:rPr>
                <w:sz w:val="18"/>
                <w:szCs w:val="18"/>
              </w:rPr>
              <w:t xml:space="preserve"> enrolled in pathways</w:t>
            </w:r>
            <w:r>
              <w:rPr>
                <w:sz w:val="18"/>
                <w:szCs w:val="18"/>
              </w:rPr>
              <w:t xml:space="preserve"> scoring below the college and career readiness threshold to remediate them and prepare them to enter credit-bearing postsecondary coursework at a two- or four-year institution.</w:t>
            </w:r>
            <w:r>
              <w:rPr>
                <w:sz w:val="18"/>
                <w:szCs w:val="18"/>
              </w:rPr>
              <w:br/>
            </w:r>
          </w:p>
          <w:p w14:paraId="1E2A026A" w14:textId="156F81CA" w:rsidR="00052D1B" w:rsidRDefault="00052D1B" w:rsidP="00A44D7D">
            <w:pPr>
              <w:pStyle w:val="ListParagraph"/>
              <w:numPr>
                <w:ilvl w:val="0"/>
                <w:numId w:val="16"/>
              </w:numPr>
              <w:spacing w:before="40" w:after="40"/>
              <w:ind w:left="405"/>
              <w:rPr>
                <w:sz w:val="18"/>
                <w:szCs w:val="18"/>
              </w:rPr>
            </w:pPr>
            <w:r>
              <w:rPr>
                <w:sz w:val="18"/>
                <w:szCs w:val="18"/>
              </w:rPr>
              <w:t>Strategies and supports are in place to ensure students</w:t>
            </w:r>
            <w:r w:rsidR="00095CAE">
              <w:rPr>
                <w:sz w:val="18"/>
                <w:szCs w:val="18"/>
              </w:rPr>
              <w:t xml:space="preserve"> enrolled in pathways</w:t>
            </w:r>
            <w:r>
              <w:rPr>
                <w:sz w:val="18"/>
                <w:szCs w:val="18"/>
              </w:rPr>
              <w:t xml:space="preserve"> complete the FAFSA as a step towards accessing financial aid opportunities.</w:t>
            </w:r>
            <w:r>
              <w:rPr>
                <w:sz w:val="18"/>
                <w:szCs w:val="18"/>
              </w:rPr>
              <w:br/>
            </w:r>
          </w:p>
          <w:p w14:paraId="4CAB5B13" w14:textId="1A8DD51D" w:rsidR="00052D1B" w:rsidRDefault="00052D1B" w:rsidP="00A44D7D">
            <w:pPr>
              <w:pStyle w:val="ListParagraph"/>
              <w:numPr>
                <w:ilvl w:val="0"/>
                <w:numId w:val="16"/>
              </w:numPr>
              <w:spacing w:before="40" w:after="40"/>
              <w:ind w:left="405"/>
              <w:rPr>
                <w:sz w:val="18"/>
                <w:szCs w:val="18"/>
              </w:rPr>
            </w:pPr>
            <w:r>
              <w:rPr>
                <w:sz w:val="18"/>
                <w:szCs w:val="18"/>
              </w:rPr>
              <w:t>Postsecondary partners use co-requisite remediation for students</w:t>
            </w:r>
            <w:r w:rsidR="00095CAE">
              <w:rPr>
                <w:sz w:val="18"/>
                <w:szCs w:val="18"/>
              </w:rPr>
              <w:t xml:space="preserve"> enrolled in pathways</w:t>
            </w:r>
            <w:r>
              <w:rPr>
                <w:sz w:val="18"/>
                <w:szCs w:val="18"/>
              </w:rPr>
              <w:t xml:space="preserve"> with demonstrated need to provide just-in-time developmental education alongside a credit-bearing course so they can begin accumulating credits toward a degree.</w:t>
            </w:r>
            <w:r>
              <w:rPr>
                <w:sz w:val="18"/>
                <w:szCs w:val="18"/>
              </w:rPr>
              <w:br/>
            </w:r>
          </w:p>
          <w:p w14:paraId="623DA8E8" w14:textId="0C4FAA82" w:rsidR="00052D1B" w:rsidRPr="00052D1B" w:rsidRDefault="00052D1B" w:rsidP="00A44D7D">
            <w:pPr>
              <w:pStyle w:val="ListParagraph"/>
              <w:numPr>
                <w:ilvl w:val="0"/>
                <w:numId w:val="16"/>
              </w:numPr>
              <w:spacing w:before="40" w:after="40"/>
              <w:ind w:left="405"/>
              <w:rPr>
                <w:sz w:val="18"/>
                <w:szCs w:val="18"/>
                <w:u w:val="single"/>
              </w:rPr>
            </w:pPr>
            <w:r>
              <w:rPr>
                <w:rFonts w:cs="Calibri"/>
                <w:sz w:val="18"/>
                <w:szCs w:val="18"/>
              </w:rPr>
              <w:t xml:space="preserve">High school </w:t>
            </w:r>
            <w:r w:rsidR="00095CAE">
              <w:rPr>
                <w:rFonts w:cs="Calibri"/>
                <w:sz w:val="18"/>
                <w:szCs w:val="18"/>
              </w:rPr>
              <w:t xml:space="preserve">students who </w:t>
            </w:r>
            <w:r w:rsidRPr="00DE320C">
              <w:rPr>
                <w:rFonts w:cs="Calibri"/>
                <w:sz w:val="18"/>
                <w:szCs w:val="18"/>
              </w:rPr>
              <w:t>complete</w:t>
            </w:r>
            <w:r w:rsidR="00095CAE">
              <w:rPr>
                <w:rFonts w:cs="Calibri"/>
                <w:sz w:val="18"/>
                <w:szCs w:val="18"/>
              </w:rPr>
              <w:t xml:space="preserve"> pathways</w:t>
            </w:r>
            <w:r>
              <w:rPr>
                <w:rFonts w:cs="Calibri"/>
                <w:sz w:val="18"/>
                <w:szCs w:val="18"/>
              </w:rPr>
              <w:t xml:space="preserve"> are positioned to</w:t>
            </w:r>
            <w:r w:rsidRPr="00DE320C">
              <w:rPr>
                <w:rFonts w:cs="Calibri"/>
                <w:sz w:val="18"/>
                <w:szCs w:val="18"/>
              </w:rPr>
              <w:t xml:space="preserve"> earn postsecondary </w:t>
            </w:r>
            <w:r>
              <w:rPr>
                <w:rFonts w:cs="Calibri"/>
                <w:sz w:val="18"/>
                <w:szCs w:val="18"/>
              </w:rPr>
              <w:t>credentials, including</w:t>
            </w:r>
            <w:r w:rsidRPr="00DE320C">
              <w:rPr>
                <w:rFonts w:cs="Calibri"/>
                <w:sz w:val="18"/>
                <w:szCs w:val="18"/>
              </w:rPr>
              <w:t xml:space="preserve"> industry-recognized credentials</w:t>
            </w:r>
            <w:r>
              <w:rPr>
                <w:rFonts w:cs="Calibri"/>
                <w:sz w:val="18"/>
                <w:szCs w:val="18"/>
              </w:rPr>
              <w:t>,</w:t>
            </w:r>
            <w:r w:rsidRPr="00DE320C">
              <w:rPr>
                <w:rFonts w:cs="Calibri"/>
                <w:sz w:val="18"/>
                <w:szCs w:val="18"/>
              </w:rPr>
              <w:t xml:space="preserve"> that are “stackable” and articulate to progressively higher-level credentials, certifications, </w:t>
            </w:r>
            <w:r>
              <w:rPr>
                <w:rFonts w:cs="Calibri"/>
                <w:sz w:val="18"/>
                <w:szCs w:val="18"/>
              </w:rPr>
              <w:t>and/</w:t>
            </w:r>
            <w:r w:rsidRPr="00DE320C">
              <w:rPr>
                <w:rFonts w:cs="Calibri"/>
                <w:sz w:val="18"/>
                <w:szCs w:val="18"/>
              </w:rPr>
              <w:t>or degrees.</w:t>
            </w:r>
            <w:r>
              <w:rPr>
                <w:rFonts w:cs="Calibri"/>
                <w:sz w:val="18"/>
                <w:szCs w:val="18"/>
              </w:rPr>
              <w:br/>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7B9CE9F7"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18C95239" w14:textId="77777777" w:rsidTr="00497913">
              <w:tc>
                <w:tcPr>
                  <w:tcW w:w="652" w:type="dxa"/>
                </w:tcPr>
                <w:p w14:paraId="4684826D" w14:textId="77777777" w:rsidR="00052D1B" w:rsidRPr="00ED64CA" w:rsidRDefault="008530DA" w:rsidP="00052D1B">
                  <w:pPr>
                    <w:spacing w:before="40" w:after="40"/>
                    <w:jc w:val="center"/>
                    <w:rPr>
                      <w:b/>
                      <w:bCs/>
                      <w:sz w:val="20"/>
                      <w:szCs w:val="20"/>
                    </w:rPr>
                  </w:pPr>
                  <w:sdt>
                    <w:sdtPr>
                      <w:rPr>
                        <w:b/>
                        <w:bCs/>
                        <w:sz w:val="20"/>
                        <w:szCs w:val="20"/>
                      </w:rPr>
                      <w:id w:val="-1685042579"/>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648C6636" w14:textId="77777777" w:rsidR="00052D1B" w:rsidRPr="00ED64CA" w:rsidRDefault="008530DA" w:rsidP="00052D1B">
                  <w:pPr>
                    <w:spacing w:before="40" w:after="40"/>
                    <w:jc w:val="center"/>
                    <w:rPr>
                      <w:b/>
                      <w:bCs/>
                      <w:sz w:val="20"/>
                      <w:szCs w:val="20"/>
                    </w:rPr>
                  </w:pPr>
                  <w:sdt>
                    <w:sdtPr>
                      <w:rPr>
                        <w:b/>
                        <w:bCs/>
                        <w:sz w:val="20"/>
                        <w:szCs w:val="20"/>
                      </w:rPr>
                      <w:id w:val="2101223872"/>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793A24EB" w14:textId="77777777" w:rsidR="00052D1B" w:rsidRPr="00ED64CA" w:rsidRDefault="008530DA" w:rsidP="00052D1B">
                  <w:pPr>
                    <w:spacing w:before="40" w:after="40"/>
                    <w:jc w:val="center"/>
                    <w:rPr>
                      <w:b/>
                      <w:bCs/>
                      <w:sz w:val="20"/>
                      <w:szCs w:val="20"/>
                    </w:rPr>
                  </w:pPr>
                  <w:sdt>
                    <w:sdtPr>
                      <w:rPr>
                        <w:b/>
                        <w:bCs/>
                        <w:sz w:val="20"/>
                        <w:szCs w:val="20"/>
                      </w:rPr>
                      <w:id w:val="18665214"/>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46A73C83" w14:textId="77777777" w:rsidR="00052D1B" w:rsidRPr="00ED64CA" w:rsidRDefault="008530DA" w:rsidP="00052D1B">
                  <w:pPr>
                    <w:spacing w:before="40" w:after="40"/>
                    <w:jc w:val="center"/>
                    <w:rPr>
                      <w:b/>
                      <w:bCs/>
                      <w:sz w:val="20"/>
                      <w:szCs w:val="20"/>
                    </w:rPr>
                  </w:pPr>
                  <w:sdt>
                    <w:sdtPr>
                      <w:rPr>
                        <w:b/>
                        <w:bCs/>
                        <w:sz w:val="20"/>
                        <w:szCs w:val="20"/>
                      </w:rPr>
                      <w:id w:val="1624344935"/>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5E47687F" w14:textId="42B7EA42" w:rsidR="00052D1B" w:rsidRDefault="00052D1B" w:rsidP="00052D1B">
            <w:pPr>
              <w:spacing w:before="40" w:after="40"/>
              <w:rPr>
                <w:sz w:val="12"/>
                <w:szCs w:val="12"/>
              </w:rPr>
            </w:pPr>
          </w:p>
          <w:p w14:paraId="24A2C86F" w14:textId="13F017BA" w:rsidR="00052D1B" w:rsidRDefault="00052D1B" w:rsidP="00052D1B">
            <w:pPr>
              <w:spacing w:before="40" w:after="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462435F5" w14:textId="77777777" w:rsidTr="00497913">
              <w:tc>
                <w:tcPr>
                  <w:tcW w:w="652" w:type="dxa"/>
                </w:tcPr>
                <w:p w14:paraId="6BF679C7" w14:textId="77777777" w:rsidR="00052D1B" w:rsidRPr="00ED64CA" w:rsidRDefault="008530DA" w:rsidP="00052D1B">
                  <w:pPr>
                    <w:spacing w:before="40" w:after="40"/>
                    <w:jc w:val="center"/>
                    <w:rPr>
                      <w:b/>
                      <w:bCs/>
                      <w:sz w:val="20"/>
                      <w:szCs w:val="20"/>
                    </w:rPr>
                  </w:pPr>
                  <w:sdt>
                    <w:sdtPr>
                      <w:rPr>
                        <w:b/>
                        <w:bCs/>
                        <w:sz w:val="20"/>
                        <w:szCs w:val="20"/>
                      </w:rPr>
                      <w:id w:val="662893184"/>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69AAB6DC" w14:textId="77777777" w:rsidR="00052D1B" w:rsidRPr="00ED64CA" w:rsidRDefault="008530DA" w:rsidP="00052D1B">
                  <w:pPr>
                    <w:spacing w:before="40" w:after="40"/>
                    <w:jc w:val="center"/>
                    <w:rPr>
                      <w:b/>
                      <w:bCs/>
                      <w:sz w:val="20"/>
                      <w:szCs w:val="20"/>
                    </w:rPr>
                  </w:pPr>
                  <w:sdt>
                    <w:sdtPr>
                      <w:rPr>
                        <w:b/>
                        <w:bCs/>
                        <w:sz w:val="20"/>
                        <w:szCs w:val="20"/>
                      </w:rPr>
                      <w:id w:val="-2016686211"/>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55360198" w14:textId="77777777" w:rsidR="00052D1B" w:rsidRPr="00ED64CA" w:rsidRDefault="008530DA" w:rsidP="00052D1B">
                  <w:pPr>
                    <w:spacing w:before="40" w:after="40"/>
                    <w:jc w:val="center"/>
                    <w:rPr>
                      <w:b/>
                      <w:bCs/>
                      <w:sz w:val="20"/>
                      <w:szCs w:val="20"/>
                    </w:rPr>
                  </w:pPr>
                  <w:sdt>
                    <w:sdtPr>
                      <w:rPr>
                        <w:b/>
                        <w:bCs/>
                        <w:sz w:val="20"/>
                        <w:szCs w:val="20"/>
                      </w:rPr>
                      <w:id w:val="1655651231"/>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13E7FEBC" w14:textId="77777777" w:rsidR="00052D1B" w:rsidRPr="00ED64CA" w:rsidRDefault="008530DA" w:rsidP="00052D1B">
                  <w:pPr>
                    <w:spacing w:before="40" w:after="40"/>
                    <w:jc w:val="center"/>
                    <w:rPr>
                      <w:b/>
                      <w:bCs/>
                      <w:sz w:val="20"/>
                      <w:szCs w:val="20"/>
                    </w:rPr>
                  </w:pPr>
                  <w:sdt>
                    <w:sdtPr>
                      <w:rPr>
                        <w:b/>
                        <w:bCs/>
                        <w:sz w:val="20"/>
                        <w:szCs w:val="20"/>
                      </w:rPr>
                      <w:id w:val="-2082365972"/>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303CBBB8" w14:textId="24FA5457" w:rsidR="00052D1B" w:rsidRPr="00F9774F" w:rsidRDefault="00052D1B" w:rsidP="00052D1B">
            <w:pPr>
              <w:spacing w:before="40" w:after="40"/>
              <w:rPr>
                <w:sz w:val="18"/>
                <w:szCs w:val="18"/>
              </w:rPr>
            </w:pPr>
          </w:p>
          <w:p w14:paraId="328266EC" w14:textId="4FB332FE" w:rsidR="00052D1B" w:rsidRDefault="00052D1B" w:rsidP="00052D1B">
            <w:pPr>
              <w:spacing w:before="40" w:after="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052D1B" w:rsidRPr="00ED64CA" w14:paraId="2A14C16F" w14:textId="77777777" w:rsidTr="00497913">
              <w:tc>
                <w:tcPr>
                  <w:tcW w:w="652" w:type="dxa"/>
                </w:tcPr>
                <w:p w14:paraId="6B256683" w14:textId="77777777" w:rsidR="00052D1B" w:rsidRPr="00ED64CA" w:rsidRDefault="008530DA" w:rsidP="00052D1B">
                  <w:pPr>
                    <w:spacing w:before="40" w:after="40"/>
                    <w:jc w:val="center"/>
                    <w:rPr>
                      <w:b/>
                      <w:bCs/>
                      <w:sz w:val="20"/>
                      <w:szCs w:val="20"/>
                    </w:rPr>
                  </w:pPr>
                  <w:sdt>
                    <w:sdtPr>
                      <w:rPr>
                        <w:b/>
                        <w:bCs/>
                        <w:sz w:val="20"/>
                        <w:szCs w:val="20"/>
                      </w:rPr>
                      <w:id w:val="1859385990"/>
                      <w14:checkbox>
                        <w14:checked w14:val="0"/>
                        <w14:checkedState w14:val="2612" w14:font="MS Gothic"/>
                        <w14:uncheckedState w14:val="2610" w14:font="MS Gothic"/>
                      </w14:checkbox>
                    </w:sdtPr>
                    <w:sdtContent>
                      <w:r w:rsidR="00052D1B">
                        <w:rPr>
                          <w:rFonts w:ascii="MS Gothic" w:eastAsia="MS Gothic" w:hAnsi="MS Gothic" w:hint="eastAsia"/>
                          <w:b/>
                          <w:bCs/>
                          <w:sz w:val="20"/>
                          <w:szCs w:val="20"/>
                        </w:rPr>
                        <w:t>☐</w:t>
                      </w:r>
                    </w:sdtContent>
                  </w:sdt>
                  <w:r w:rsidR="00052D1B" w:rsidRPr="00ED64CA">
                    <w:rPr>
                      <w:b/>
                      <w:bCs/>
                      <w:sz w:val="20"/>
                      <w:szCs w:val="20"/>
                    </w:rPr>
                    <w:t>1</w:t>
                  </w:r>
                </w:p>
              </w:tc>
              <w:tc>
                <w:tcPr>
                  <w:tcW w:w="652" w:type="dxa"/>
                </w:tcPr>
                <w:p w14:paraId="14DA9412" w14:textId="77777777" w:rsidR="00052D1B" w:rsidRPr="00ED64CA" w:rsidRDefault="008530DA" w:rsidP="00052D1B">
                  <w:pPr>
                    <w:spacing w:before="40" w:after="40"/>
                    <w:jc w:val="center"/>
                    <w:rPr>
                      <w:b/>
                      <w:bCs/>
                      <w:sz w:val="20"/>
                      <w:szCs w:val="20"/>
                    </w:rPr>
                  </w:pPr>
                  <w:sdt>
                    <w:sdtPr>
                      <w:rPr>
                        <w:b/>
                        <w:bCs/>
                        <w:sz w:val="20"/>
                        <w:szCs w:val="20"/>
                      </w:rPr>
                      <w:id w:val="1434095240"/>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2</w:t>
                  </w:r>
                </w:p>
              </w:tc>
              <w:tc>
                <w:tcPr>
                  <w:tcW w:w="652" w:type="dxa"/>
                </w:tcPr>
                <w:p w14:paraId="206F4058" w14:textId="77777777" w:rsidR="00052D1B" w:rsidRPr="00ED64CA" w:rsidRDefault="008530DA" w:rsidP="00052D1B">
                  <w:pPr>
                    <w:spacing w:before="40" w:after="40"/>
                    <w:jc w:val="center"/>
                    <w:rPr>
                      <w:b/>
                      <w:bCs/>
                      <w:sz w:val="20"/>
                      <w:szCs w:val="20"/>
                    </w:rPr>
                  </w:pPr>
                  <w:sdt>
                    <w:sdtPr>
                      <w:rPr>
                        <w:b/>
                        <w:bCs/>
                        <w:sz w:val="20"/>
                        <w:szCs w:val="20"/>
                      </w:rPr>
                      <w:id w:val="1413972839"/>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3</w:t>
                  </w:r>
                </w:p>
              </w:tc>
              <w:tc>
                <w:tcPr>
                  <w:tcW w:w="653" w:type="dxa"/>
                </w:tcPr>
                <w:p w14:paraId="67044695" w14:textId="77777777" w:rsidR="00052D1B" w:rsidRPr="00ED64CA" w:rsidRDefault="008530DA" w:rsidP="00052D1B">
                  <w:pPr>
                    <w:spacing w:before="40" w:after="40"/>
                    <w:jc w:val="center"/>
                    <w:rPr>
                      <w:b/>
                      <w:bCs/>
                      <w:sz w:val="20"/>
                      <w:szCs w:val="20"/>
                    </w:rPr>
                  </w:pPr>
                  <w:sdt>
                    <w:sdtPr>
                      <w:rPr>
                        <w:b/>
                        <w:bCs/>
                        <w:sz w:val="20"/>
                        <w:szCs w:val="20"/>
                      </w:rPr>
                      <w:id w:val="1842115700"/>
                      <w14:checkbox>
                        <w14:checked w14:val="0"/>
                        <w14:checkedState w14:val="2612" w14:font="MS Gothic"/>
                        <w14:uncheckedState w14:val="2610" w14:font="MS Gothic"/>
                      </w14:checkbox>
                    </w:sdtPr>
                    <w:sdtContent>
                      <w:r w:rsidR="00052D1B" w:rsidRPr="00ED64CA">
                        <w:rPr>
                          <w:rFonts w:ascii="MS Gothic" w:eastAsia="MS Gothic" w:hAnsi="MS Gothic" w:hint="eastAsia"/>
                          <w:b/>
                          <w:bCs/>
                          <w:sz w:val="20"/>
                          <w:szCs w:val="20"/>
                        </w:rPr>
                        <w:t>☐</w:t>
                      </w:r>
                    </w:sdtContent>
                  </w:sdt>
                  <w:r w:rsidR="00052D1B" w:rsidRPr="00ED64CA">
                    <w:rPr>
                      <w:b/>
                      <w:bCs/>
                      <w:sz w:val="20"/>
                      <w:szCs w:val="20"/>
                    </w:rPr>
                    <w:t>4</w:t>
                  </w:r>
                </w:p>
              </w:tc>
            </w:tr>
          </w:tbl>
          <w:p w14:paraId="28B80A26" w14:textId="794D8A19" w:rsidR="00052D1B" w:rsidRPr="00F9774F"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7E8A71C4" w14:textId="77777777" w:rsidTr="00497913">
              <w:tc>
                <w:tcPr>
                  <w:tcW w:w="652" w:type="dxa"/>
                </w:tcPr>
                <w:p w14:paraId="339F6442" w14:textId="77777777" w:rsidR="00F9774F" w:rsidRPr="00ED64CA" w:rsidRDefault="008530DA" w:rsidP="00F9774F">
                  <w:pPr>
                    <w:spacing w:before="40" w:after="40"/>
                    <w:jc w:val="center"/>
                    <w:rPr>
                      <w:b/>
                      <w:bCs/>
                      <w:sz w:val="20"/>
                      <w:szCs w:val="20"/>
                    </w:rPr>
                  </w:pPr>
                  <w:sdt>
                    <w:sdtPr>
                      <w:rPr>
                        <w:b/>
                        <w:bCs/>
                        <w:sz w:val="20"/>
                        <w:szCs w:val="20"/>
                      </w:rPr>
                      <w:id w:val="-758679038"/>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04D6199D" w14:textId="77777777" w:rsidR="00F9774F" w:rsidRPr="00ED64CA" w:rsidRDefault="008530DA" w:rsidP="00F9774F">
                  <w:pPr>
                    <w:spacing w:before="40" w:after="40"/>
                    <w:jc w:val="center"/>
                    <w:rPr>
                      <w:b/>
                      <w:bCs/>
                      <w:sz w:val="20"/>
                      <w:szCs w:val="20"/>
                    </w:rPr>
                  </w:pPr>
                  <w:sdt>
                    <w:sdtPr>
                      <w:rPr>
                        <w:b/>
                        <w:bCs/>
                        <w:sz w:val="20"/>
                        <w:szCs w:val="20"/>
                      </w:rPr>
                      <w:id w:val="58835181"/>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24A14326" w14:textId="77777777" w:rsidR="00F9774F" w:rsidRPr="00ED64CA" w:rsidRDefault="008530DA" w:rsidP="00F9774F">
                  <w:pPr>
                    <w:spacing w:before="40" w:after="40"/>
                    <w:jc w:val="center"/>
                    <w:rPr>
                      <w:b/>
                      <w:bCs/>
                      <w:sz w:val="20"/>
                      <w:szCs w:val="20"/>
                    </w:rPr>
                  </w:pPr>
                  <w:sdt>
                    <w:sdtPr>
                      <w:rPr>
                        <w:b/>
                        <w:bCs/>
                        <w:sz w:val="20"/>
                        <w:szCs w:val="20"/>
                      </w:rPr>
                      <w:id w:val="-1495324732"/>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5999DB99" w14:textId="77777777" w:rsidR="00F9774F" w:rsidRPr="00ED64CA" w:rsidRDefault="008530DA" w:rsidP="00F9774F">
                  <w:pPr>
                    <w:spacing w:before="40" w:after="40"/>
                    <w:jc w:val="center"/>
                    <w:rPr>
                      <w:b/>
                      <w:bCs/>
                      <w:sz w:val="20"/>
                      <w:szCs w:val="20"/>
                    </w:rPr>
                  </w:pPr>
                  <w:sdt>
                    <w:sdtPr>
                      <w:rPr>
                        <w:b/>
                        <w:bCs/>
                        <w:sz w:val="20"/>
                        <w:szCs w:val="20"/>
                      </w:rPr>
                      <w:id w:val="-345179387"/>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730FF088" w14:textId="203B6FB4" w:rsidR="00052D1B" w:rsidRDefault="00052D1B" w:rsidP="00052D1B">
            <w:pPr>
              <w:spacing w:before="40" w:after="40"/>
              <w:rPr>
                <w:sz w:val="12"/>
                <w:szCs w:val="12"/>
              </w:rPr>
            </w:pPr>
          </w:p>
          <w:p w14:paraId="23391DD7" w14:textId="613A8597" w:rsidR="00F9774F" w:rsidRDefault="00F9774F" w:rsidP="00052D1B">
            <w:pPr>
              <w:spacing w:before="40" w:after="40"/>
              <w:rPr>
                <w:sz w:val="12"/>
                <w:szCs w:val="12"/>
              </w:rPr>
            </w:pPr>
          </w:p>
          <w:p w14:paraId="1D23CC72" w14:textId="0166FC0C" w:rsidR="00F9774F" w:rsidRDefault="00F9774F" w:rsidP="00052D1B">
            <w:pPr>
              <w:spacing w:before="40" w:after="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0349A3F6" w14:textId="77777777" w:rsidTr="00497913">
              <w:tc>
                <w:tcPr>
                  <w:tcW w:w="652" w:type="dxa"/>
                </w:tcPr>
                <w:p w14:paraId="2F20B0C4" w14:textId="77777777" w:rsidR="00F9774F" w:rsidRPr="00ED64CA" w:rsidRDefault="008530DA" w:rsidP="00F9774F">
                  <w:pPr>
                    <w:spacing w:before="40" w:after="40"/>
                    <w:jc w:val="center"/>
                    <w:rPr>
                      <w:b/>
                      <w:bCs/>
                      <w:sz w:val="20"/>
                      <w:szCs w:val="20"/>
                    </w:rPr>
                  </w:pPr>
                  <w:sdt>
                    <w:sdtPr>
                      <w:rPr>
                        <w:b/>
                        <w:bCs/>
                        <w:sz w:val="20"/>
                        <w:szCs w:val="20"/>
                      </w:rPr>
                      <w:id w:val="2003314197"/>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142A09A7" w14:textId="77777777" w:rsidR="00F9774F" w:rsidRPr="00ED64CA" w:rsidRDefault="008530DA" w:rsidP="00F9774F">
                  <w:pPr>
                    <w:spacing w:before="40" w:after="40"/>
                    <w:jc w:val="center"/>
                    <w:rPr>
                      <w:b/>
                      <w:bCs/>
                      <w:sz w:val="20"/>
                      <w:szCs w:val="20"/>
                    </w:rPr>
                  </w:pPr>
                  <w:sdt>
                    <w:sdtPr>
                      <w:rPr>
                        <w:b/>
                        <w:bCs/>
                        <w:sz w:val="20"/>
                        <w:szCs w:val="20"/>
                      </w:rPr>
                      <w:id w:val="932313185"/>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2BC1007E" w14:textId="77777777" w:rsidR="00F9774F" w:rsidRPr="00ED64CA" w:rsidRDefault="008530DA" w:rsidP="00F9774F">
                  <w:pPr>
                    <w:spacing w:before="40" w:after="40"/>
                    <w:jc w:val="center"/>
                    <w:rPr>
                      <w:b/>
                      <w:bCs/>
                      <w:sz w:val="20"/>
                      <w:szCs w:val="20"/>
                    </w:rPr>
                  </w:pPr>
                  <w:sdt>
                    <w:sdtPr>
                      <w:rPr>
                        <w:b/>
                        <w:bCs/>
                        <w:sz w:val="20"/>
                        <w:szCs w:val="20"/>
                      </w:rPr>
                      <w:id w:val="401112095"/>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263CBDCA" w14:textId="77777777" w:rsidR="00F9774F" w:rsidRPr="00ED64CA" w:rsidRDefault="008530DA" w:rsidP="00F9774F">
                  <w:pPr>
                    <w:spacing w:before="40" w:after="40"/>
                    <w:jc w:val="center"/>
                    <w:rPr>
                      <w:b/>
                      <w:bCs/>
                      <w:sz w:val="20"/>
                      <w:szCs w:val="20"/>
                    </w:rPr>
                  </w:pPr>
                  <w:sdt>
                    <w:sdtPr>
                      <w:rPr>
                        <w:b/>
                        <w:bCs/>
                        <w:sz w:val="20"/>
                        <w:szCs w:val="20"/>
                      </w:rPr>
                      <w:id w:val="-87228395"/>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7285BC85" w14:textId="7480AE05" w:rsidR="00052D1B" w:rsidRPr="00052D1B" w:rsidRDefault="00052D1B" w:rsidP="00052D1B">
            <w:pPr>
              <w:spacing w:before="40" w:after="40"/>
              <w:rPr>
                <w:sz w:val="18"/>
                <w:szCs w:val="18"/>
              </w:rPr>
            </w:pPr>
          </w:p>
        </w:tc>
      </w:tr>
      <w:tr w:rsidR="00052D1B" w14:paraId="343490DE"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42D0FCD6" w14:textId="1B309CF7" w:rsidR="00052D1B" w:rsidRPr="00C82748" w:rsidRDefault="00052D1B" w:rsidP="00052D1B">
            <w:pPr>
              <w:spacing w:before="40" w:after="40"/>
              <w:ind w:left="360" w:hanging="360"/>
              <w:rPr>
                <w:bCs/>
                <w:i/>
                <w:sz w:val="18"/>
                <w:szCs w:val="18"/>
              </w:rPr>
            </w:pPr>
            <w:r>
              <w:rPr>
                <w:sz w:val="18"/>
                <w:szCs w:val="18"/>
              </w:rPr>
              <w:lastRenderedPageBreak/>
              <w:t>3</w:t>
            </w:r>
            <w:r w:rsidRPr="003B6205">
              <w:rPr>
                <w:sz w:val="18"/>
                <w:szCs w:val="18"/>
              </w:rPr>
              <w:t>c</w:t>
            </w:r>
            <w:r>
              <w:rPr>
                <w:sz w:val="18"/>
                <w:szCs w:val="18"/>
              </w:rPr>
              <w:t xml:space="preserve">.  </w:t>
            </w:r>
            <w:r>
              <w:rPr>
                <w:b/>
                <w:bCs/>
                <w:sz w:val="18"/>
                <w:szCs w:val="18"/>
              </w:rPr>
              <w:t xml:space="preserve">Navigation supports designed jointly: </w:t>
            </w:r>
            <w:r>
              <w:rPr>
                <w:bCs/>
                <w:sz w:val="18"/>
                <w:szCs w:val="18"/>
              </w:rPr>
              <w:t>Advising practices and related interventions are established and leveraged to guide students into and through postsecondary education.</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13F6151E" w14:textId="77777777" w:rsidR="00052D1B" w:rsidRPr="00052D1B" w:rsidRDefault="00052D1B" w:rsidP="00052D1B">
            <w:pPr>
              <w:spacing w:before="40" w:after="40"/>
              <w:rPr>
                <w:b/>
                <w:sz w:val="20"/>
                <w:szCs w:val="20"/>
              </w:rPr>
            </w:pPr>
            <w:r w:rsidRPr="00052D1B">
              <w:rPr>
                <w:b/>
                <w:sz w:val="20"/>
                <w:szCs w:val="20"/>
              </w:rPr>
              <w:t>Targeted outcome 3c: Navigation supports designed jointly by K-12 and postsecondary</w:t>
            </w:r>
          </w:p>
          <w:p w14:paraId="6294E7C1" w14:textId="077EB11C" w:rsidR="00052D1B" w:rsidRPr="00DC73CD" w:rsidRDefault="00052D1B" w:rsidP="00A44D7D">
            <w:pPr>
              <w:pStyle w:val="ListParagraph"/>
              <w:numPr>
                <w:ilvl w:val="0"/>
                <w:numId w:val="17"/>
              </w:numPr>
              <w:spacing w:before="40" w:after="40"/>
              <w:ind w:left="405"/>
              <w:rPr>
                <w:sz w:val="18"/>
                <w:szCs w:val="18"/>
              </w:rPr>
            </w:pPr>
            <w:r w:rsidRPr="00DC73CD">
              <w:rPr>
                <w:sz w:val="18"/>
                <w:szCs w:val="18"/>
              </w:rPr>
              <w:t xml:space="preserve">The state, district, and </w:t>
            </w:r>
            <w:r w:rsidR="00DC73CD">
              <w:rPr>
                <w:sz w:val="18"/>
                <w:szCs w:val="18"/>
              </w:rPr>
              <w:t>postsecondary</w:t>
            </w:r>
            <w:r w:rsidRPr="00DC73CD">
              <w:rPr>
                <w:sz w:val="18"/>
                <w:szCs w:val="18"/>
              </w:rPr>
              <w:t xml:space="preserve"> education partners promote a framework for college and career readiness that supports student exploration of high-value postsecondary opportunities and identifies activities that will prepare students for postsecondary success, starting well before 12</w:t>
            </w:r>
            <w:r w:rsidRPr="00DC73CD">
              <w:rPr>
                <w:sz w:val="18"/>
                <w:szCs w:val="18"/>
                <w:vertAlign w:val="superscript"/>
              </w:rPr>
              <w:t>th</w:t>
            </w:r>
            <w:r w:rsidRPr="00DC73CD">
              <w:rPr>
                <w:sz w:val="18"/>
                <w:szCs w:val="18"/>
              </w:rPr>
              <w:t xml:space="preserve"> grade</w:t>
            </w:r>
            <w:r w:rsidR="00DE5D87">
              <w:rPr>
                <w:sz w:val="18"/>
                <w:szCs w:val="18"/>
              </w:rPr>
              <w:t>.</w:t>
            </w:r>
            <w:r w:rsidRPr="00DC73CD">
              <w:rPr>
                <w:sz w:val="18"/>
                <w:szCs w:val="18"/>
              </w:rPr>
              <w:br/>
            </w:r>
          </w:p>
          <w:p w14:paraId="058BB860" w14:textId="20795885" w:rsidR="00052D1B" w:rsidRDefault="00052D1B" w:rsidP="00A44D7D">
            <w:pPr>
              <w:pStyle w:val="ListParagraph"/>
              <w:numPr>
                <w:ilvl w:val="0"/>
                <w:numId w:val="17"/>
              </w:numPr>
              <w:spacing w:before="40" w:after="40"/>
              <w:ind w:left="405"/>
              <w:rPr>
                <w:sz w:val="18"/>
                <w:szCs w:val="18"/>
              </w:rPr>
            </w:pPr>
            <w:r>
              <w:rPr>
                <w:sz w:val="18"/>
                <w:szCs w:val="18"/>
              </w:rPr>
              <w:t xml:space="preserve">The state, district, and </w:t>
            </w:r>
            <w:r w:rsidR="00DC73CD">
              <w:rPr>
                <w:sz w:val="18"/>
                <w:szCs w:val="18"/>
              </w:rPr>
              <w:t>postsecondary</w:t>
            </w:r>
            <w:r>
              <w:rPr>
                <w:sz w:val="18"/>
                <w:szCs w:val="18"/>
              </w:rPr>
              <w:t xml:space="preserve"> education partners work together to bridge K-12 and postsecondary advising systems so that pathways students have a seamless experience to and through postsecondary education and training.</w:t>
            </w:r>
            <w:r>
              <w:rPr>
                <w:sz w:val="18"/>
                <w:szCs w:val="18"/>
              </w:rPr>
              <w:br/>
            </w:r>
          </w:p>
          <w:p w14:paraId="5C2CE582" w14:textId="6B90DB25" w:rsidR="00052D1B" w:rsidRDefault="00052D1B" w:rsidP="00A44D7D">
            <w:pPr>
              <w:pStyle w:val="ListParagraph"/>
              <w:numPr>
                <w:ilvl w:val="0"/>
                <w:numId w:val="17"/>
              </w:numPr>
              <w:spacing w:before="40" w:after="40"/>
              <w:ind w:left="405"/>
              <w:rPr>
                <w:sz w:val="18"/>
                <w:szCs w:val="18"/>
              </w:rPr>
            </w:pPr>
            <w:r>
              <w:rPr>
                <w:sz w:val="18"/>
                <w:szCs w:val="18"/>
              </w:rPr>
              <w:t>The district and postsecondary partners help students identify</w:t>
            </w:r>
            <w:r w:rsidR="00C22A06">
              <w:rPr>
                <w:sz w:val="18"/>
                <w:szCs w:val="18"/>
              </w:rPr>
              <w:t xml:space="preserve"> target</w:t>
            </w:r>
            <w:r>
              <w:rPr>
                <w:sz w:val="18"/>
                <w:szCs w:val="18"/>
              </w:rPr>
              <w:t xml:space="preserve"> postsecondary institutions and apply to them</w:t>
            </w:r>
            <w:r w:rsidR="00C22A06">
              <w:rPr>
                <w:sz w:val="18"/>
                <w:szCs w:val="18"/>
              </w:rPr>
              <w:t xml:space="preserve"> in part using indicators like pathways and programs offered, associated employment and wages, and program completion </w:t>
            </w:r>
            <w:proofErr w:type="gramStart"/>
            <w:r w:rsidR="00C22A06">
              <w:rPr>
                <w:sz w:val="18"/>
                <w:szCs w:val="18"/>
              </w:rPr>
              <w:t xml:space="preserve">rates </w:t>
            </w:r>
            <w:r>
              <w:rPr>
                <w:sz w:val="18"/>
                <w:szCs w:val="18"/>
              </w:rPr>
              <w:t>.</w:t>
            </w:r>
            <w:proofErr w:type="gramEnd"/>
            <w:r>
              <w:rPr>
                <w:sz w:val="18"/>
                <w:szCs w:val="18"/>
              </w:rPr>
              <w:br/>
            </w:r>
          </w:p>
          <w:p w14:paraId="416D93A1" w14:textId="00CB8719" w:rsidR="00052D1B" w:rsidRDefault="00052D1B" w:rsidP="00A44D7D">
            <w:pPr>
              <w:pStyle w:val="ListParagraph"/>
              <w:numPr>
                <w:ilvl w:val="0"/>
                <w:numId w:val="17"/>
              </w:numPr>
              <w:spacing w:before="40" w:after="40"/>
              <w:ind w:left="405"/>
              <w:rPr>
                <w:sz w:val="18"/>
                <w:szCs w:val="18"/>
              </w:rPr>
            </w:pPr>
            <w:r>
              <w:rPr>
                <w:sz w:val="18"/>
                <w:szCs w:val="18"/>
              </w:rPr>
              <w:t xml:space="preserve">The state, district, and </w:t>
            </w:r>
            <w:r w:rsidR="00DC73CD">
              <w:rPr>
                <w:sz w:val="18"/>
                <w:szCs w:val="18"/>
              </w:rPr>
              <w:t>postsecondary</w:t>
            </w:r>
            <w:r>
              <w:rPr>
                <w:sz w:val="18"/>
                <w:szCs w:val="18"/>
              </w:rPr>
              <w:t xml:space="preserve"> education partners clearly identify and explain the postsecondary programs associated with secondary pathways to help students understand how to prepare for postsecondary education and training in their field of study and provide targeted supports to help them achieve that.</w:t>
            </w:r>
            <w:r>
              <w:rPr>
                <w:sz w:val="18"/>
                <w:szCs w:val="18"/>
              </w:rPr>
              <w:br/>
            </w:r>
          </w:p>
          <w:p w14:paraId="13C048E3" w14:textId="52B8D646" w:rsidR="00052D1B" w:rsidRDefault="00052D1B" w:rsidP="00A44D7D">
            <w:pPr>
              <w:pStyle w:val="ListParagraph"/>
              <w:numPr>
                <w:ilvl w:val="0"/>
                <w:numId w:val="17"/>
              </w:numPr>
              <w:spacing w:before="40" w:after="40"/>
              <w:ind w:left="405"/>
              <w:rPr>
                <w:sz w:val="18"/>
                <w:szCs w:val="18"/>
              </w:rPr>
            </w:pPr>
            <w:r>
              <w:rPr>
                <w:sz w:val="18"/>
                <w:szCs w:val="18"/>
              </w:rPr>
              <w:t>Postsecondary partners provide “intrusive” or “proactive” advisors to high school pathways students to anticipate and address barriers that could interfere with their ability to persist through and complete a related postsecondary degree program.</w:t>
            </w:r>
            <w:r>
              <w:rPr>
                <w:sz w:val="18"/>
                <w:szCs w:val="18"/>
              </w:rPr>
              <w:br/>
            </w:r>
          </w:p>
          <w:p w14:paraId="7E323B53" w14:textId="54F9F1DB" w:rsidR="00052D1B" w:rsidRPr="00052D1B" w:rsidRDefault="00052D1B" w:rsidP="00A44D7D">
            <w:pPr>
              <w:pStyle w:val="ListParagraph"/>
              <w:numPr>
                <w:ilvl w:val="0"/>
                <w:numId w:val="17"/>
              </w:numPr>
              <w:spacing w:before="40" w:after="40"/>
              <w:ind w:left="405"/>
              <w:rPr>
                <w:sz w:val="18"/>
                <w:szCs w:val="18"/>
              </w:rPr>
            </w:pPr>
            <w:r w:rsidRPr="00052D1B">
              <w:rPr>
                <w:sz w:val="18"/>
                <w:szCs w:val="18"/>
              </w:rPr>
              <w:t>Processes are in place to identify pathways students who are off track to on time graduation in college</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65FBA38C" w14:textId="77777777" w:rsidR="00052D1B" w:rsidRDefault="00052D1B"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0FC50AF9" w14:textId="77777777" w:rsidTr="00497913">
              <w:tc>
                <w:tcPr>
                  <w:tcW w:w="652" w:type="dxa"/>
                </w:tcPr>
                <w:p w14:paraId="3B42813E" w14:textId="77777777" w:rsidR="00F9774F" w:rsidRPr="00ED64CA" w:rsidRDefault="008530DA" w:rsidP="00F9774F">
                  <w:pPr>
                    <w:spacing w:before="40" w:after="40"/>
                    <w:jc w:val="center"/>
                    <w:rPr>
                      <w:b/>
                      <w:bCs/>
                      <w:sz w:val="20"/>
                      <w:szCs w:val="20"/>
                    </w:rPr>
                  </w:pPr>
                  <w:sdt>
                    <w:sdtPr>
                      <w:rPr>
                        <w:b/>
                        <w:bCs/>
                        <w:sz w:val="20"/>
                        <w:szCs w:val="20"/>
                      </w:rPr>
                      <w:id w:val="58518581"/>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0164FD52" w14:textId="77777777" w:rsidR="00F9774F" w:rsidRPr="00ED64CA" w:rsidRDefault="008530DA" w:rsidP="00F9774F">
                  <w:pPr>
                    <w:spacing w:before="40" w:after="40"/>
                    <w:jc w:val="center"/>
                    <w:rPr>
                      <w:b/>
                      <w:bCs/>
                      <w:sz w:val="20"/>
                      <w:szCs w:val="20"/>
                    </w:rPr>
                  </w:pPr>
                  <w:sdt>
                    <w:sdtPr>
                      <w:rPr>
                        <w:b/>
                        <w:bCs/>
                        <w:sz w:val="20"/>
                        <w:szCs w:val="20"/>
                      </w:rPr>
                      <w:id w:val="152651575"/>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1A56E571" w14:textId="77777777" w:rsidR="00F9774F" w:rsidRPr="00ED64CA" w:rsidRDefault="008530DA" w:rsidP="00F9774F">
                  <w:pPr>
                    <w:spacing w:before="40" w:after="40"/>
                    <w:jc w:val="center"/>
                    <w:rPr>
                      <w:b/>
                      <w:bCs/>
                      <w:sz w:val="20"/>
                      <w:szCs w:val="20"/>
                    </w:rPr>
                  </w:pPr>
                  <w:sdt>
                    <w:sdtPr>
                      <w:rPr>
                        <w:b/>
                        <w:bCs/>
                        <w:sz w:val="20"/>
                        <w:szCs w:val="20"/>
                      </w:rPr>
                      <w:id w:val="1542555974"/>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12ACF1CD" w14:textId="77777777" w:rsidR="00F9774F" w:rsidRPr="00ED64CA" w:rsidRDefault="008530DA" w:rsidP="00F9774F">
                  <w:pPr>
                    <w:spacing w:before="40" w:after="40"/>
                    <w:jc w:val="center"/>
                    <w:rPr>
                      <w:b/>
                      <w:bCs/>
                      <w:sz w:val="20"/>
                      <w:szCs w:val="20"/>
                    </w:rPr>
                  </w:pPr>
                  <w:sdt>
                    <w:sdtPr>
                      <w:rPr>
                        <w:b/>
                        <w:bCs/>
                        <w:sz w:val="20"/>
                        <w:szCs w:val="20"/>
                      </w:rPr>
                      <w:id w:val="-1574735155"/>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38BAE55F" w14:textId="77777777" w:rsidR="00F9774F" w:rsidRDefault="00F9774F" w:rsidP="00052D1B">
            <w:pPr>
              <w:spacing w:before="40" w:after="40"/>
              <w:rPr>
                <w:sz w:val="18"/>
                <w:szCs w:val="18"/>
              </w:rPr>
            </w:pPr>
          </w:p>
          <w:p w14:paraId="5A47A65D" w14:textId="77777777" w:rsidR="00F9774F" w:rsidRDefault="00F9774F"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3A7262A1" w14:textId="77777777" w:rsidTr="00497913">
              <w:tc>
                <w:tcPr>
                  <w:tcW w:w="652" w:type="dxa"/>
                </w:tcPr>
                <w:p w14:paraId="188938CE" w14:textId="77777777" w:rsidR="00F9774F" w:rsidRPr="00ED64CA" w:rsidRDefault="008530DA" w:rsidP="00F9774F">
                  <w:pPr>
                    <w:spacing w:before="40" w:after="40"/>
                    <w:jc w:val="center"/>
                    <w:rPr>
                      <w:b/>
                      <w:bCs/>
                      <w:sz w:val="20"/>
                      <w:szCs w:val="20"/>
                    </w:rPr>
                  </w:pPr>
                  <w:sdt>
                    <w:sdtPr>
                      <w:rPr>
                        <w:b/>
                        <w:bCs/>
                        <w:sz w:val="20"/>
                        <w:szCs w:val="20"/>
                      </w:rPr>
                      <w:id w:val="-1165634931"/>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6354F181" w14:textId="77777777" w:rsidR="00F9774F" w:rsidRPr="00ED64CA" w:rsidRDefault="008530DA" w:rsidP="00F9774F">
                  <w:pPr>
                    <w:spacing w:before="40" w:after="40"/>
                    <w:jc w:val="center"/>
                    <w:rPr>
                      <w:b/>
                      <w:bCs/>
                      <w:sz w:val="20"/>
                      <w:szCs w:val="20"/>
                    </w:rPr>
                  </w:pPr>
                  <w:sdt>
                    <w:sdtPr>
                      <w:rPr>
                        <w:b/>
                        <w:bCs/>
                        <w:sz w:val="20"/>
                        <w:szCs w:val="20"/>
                      </w:rPr>
                      <w:id w:val="-786422117"/>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4CC1C452" w14:textId="77777777" w:rsidR="00F9774F" w:rsidRPr="00ED64CA" w:rsidRDefault="008530DA" w:rsidP="00F9774F">
                  <w:pPr>
                    <w:spacing w:before="40" w:after="40"/>
                    <w:jc w:val="center"/>
                    <w:rPr>
                      <w:b/>
                      <w:bCs/>
                      <w:sz w:val="20"/>
                      <w:szCs w:val="20"/>
                    </w:rPr>
                  </w:pPr>
                  <w:sdt>
                    <w:sdtPr>
                      <w:rPr>
                        <w:b/>
                        <w:bCs/>
                        <w:sz w:val="20"/>
                        <w:szCs w:val="20"/>
                      </w:rPr>
                      <w:id w:val="1662961479"/>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40954B31" w14:textId="77777777" w:rsidR="00F9774F" w:rsidRPr="00ED64CA" w:rsidRDefault="008530DA" w:rsidP="00F9774F">
                  <w:pPr>
                    <w:spacing w:before="40" w:after="40"/>
                    <w:jc w:val="center"/>
                    <w:rPr>
                      <w:b/>
                      <w:bCs/>
                      <w:sz w:val="20"/>
                      <w:szCs w:val="20"/>
                    </w:rPr>
                  </w:pPr>
                  <w:sdt>
                    <w:sdtPr>
                      <w:rPr>
                        <w:b/>
                        <w:bCs/>
                        <w:sz w:val="20"/>
                        <w:szCs w:val="20"/>
                      </w:rPr>
                      <w:id w:val="1629662617"/>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67C4B815" w14:textId="77777777" w:rsidR="00F9774F" w:rsidRDefault="00F9774F" w:rsidP="00052D1B">
            <w:pPr>
              <w:spacing w:before="40" w:after="40"/>
              <w:rPr>
                <w:sz w:val="18"/>
                <w:szCs w:val="18"/>
              </w:rPr>
            </w:pPr>
          </w:p>
          <w:p w14:paraId="5216EE96" w14:textId="77777777" w:rsidR="00F9774F" w:rsidRDefault="00F9774F"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06AB43EA" w14:textId="77777777" w:rsidTr="00497913">
              <w:tc>
                <w:tcPr>
                  <w:tcW w:w="652" w:type="dxa"/>
                </w:tcPr>
                <w:p w14:paraId="025BFD09" w14:textId="77777777" w:rsidR="00F9774F" w:rsidRPr="00ED64CA" w:rsidRDefault="008530DA" w:rsidP="00F9774F">
                  <w:pPr>
                    <w:spacing w:before="40" w:after="40"/>
                    <w:jc w:val="center"/>
                    <w:rPr>
                      <w:b/>
                      <w:bCs/>
                      <w:sz w:val="20"/>
                      <w:szCs w:val="20"/>
                    </w:rPr>
                  </w:pPr>
                  <w:sdt>
                    <w:sdtPr>
                      <w:rPr>
                        <w:b/>
                        <w:bCs/>
                        <w:sz w:val="20"/>
                        <w:szCs w:val="20"/>
                      </w:rPr>
                      <w:id w:val="-1449766111"/>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1E06E244" w14:textId="77777777" w:rsidR="00F9774F" w:rsidRPr="00ED64CA" w:rsidRDefault="008530DA" w:rsidP="00F9774F">
                  <w:pPr>
                    <w:spacing w:before="40" w:after="40"/>
                    <w:jc w:val="center"/>
                    <w:rPr>
                      <w:b/>
                      <w:bCs/>
                      <w:sz w:val="20"/>
                      <w:szCs w:val="20"/>
                    </w:rPr>
                  </w:pPr>
                  <w:sdt>
                    <w:sdtPr>
                      <w:rPr>
                        <w:b/>
                        <w:bCs/>
                        <w:sz w:val="20"/>
                        <w:szCs w:val="20"/>
                      </w:rPr>
                      <w:id w:val="1924448406"/>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092313B0" w14:textId="77777777" w:rsidR="00F9774F" w:rsidRPr="00ED64CA" w:rsidRDefault="008530DA" w:rsidP="00F9774F">
                  <w:pPr>
                    <w:spacing w:before="40" w:after="40"/>
                    <w:jc w:val="center"/>
                    <w:rPr>
                      <w:b/>
                      <w:bCs/>
                      <w:sz w:val="20"/>
                      <w:szCs w:val="20"/>
                    </w:rPr>
                  </w:pPr>
                  <w:sdt>
                    <w:sdtPr>
                      <w:rPr>
                        <w:b/>
                        <w:bCs/>
                        <w:sz w:val="20"/>
                        <w:szCs w:val="20"/>
                      </w:rPr>
                      <w:id w:val="-1879847174"/>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21B70E45" w14:textId="77777777" w:rsidR="00F9774F" w:rsidRPr="00ED64CA" w:rsidRDefault="008530DA" w:rsidP="00F9774F">
                  <w:pPr>
                    <w:spacing w:before="40" w:after="40"/>
                    <w:jc w:val="center"/>
                    <w:rPr>
                      <w:b/>
                      <w:bCs/>
                      <w:sz w:val="20"/>
                      <w:szCs w:val="20"/>
                    </w:rPr>
                  </w:pPr>
                  <w:sdt>
                    <w:sdtPr>
                      <w:rPr>
                        <w:b/>
                        <w:bCs/>
                        <w:sz w:val="20"/>
                        <w:szCs w:val="20"/>
                      </w:rPr>
                      <w:id w:val="-985233693"/>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39BFF567" w14:textId="77777777" w:rsidR="00F9774F" w:rsidRDefault="00F9774F"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149B0A05" w14:textId="77777777" w:rsidTr="00497913">
              <w:tc>
                <w:tcPr>
                  <w:tcW w:w="652" w:type="dxa"/>
                </w:tcPr>
                <w:p w14:paraId="4E6B4C31" w14:textId="77777777" w:rsidR="00F9774F" w:rsidRPr="00ED64CA" w:rsidRDefault="008530DA" w:rsidP="00F9774F">
                  <w:pPr>
                    <w:spacing w:before="40" w:after="40"/>
                    <w:jc w:val="center"/>
                    <w:rPr>
                      <w:b/>
                      <w:bCs/>
                      <w:sz w:val="20"/>
                      <w:szCs w:val="20"/>
                    </w:rPr>
                  </w:pPr>
                  <w:sdt>
                    <w:sdtPr>
                      <w:rPr>
                        <w:b/>
                        <w:bCs/>
                        <w:sz w:val="20"/>
                        <w:szCs w:val="20"/>
                      </w:rPr>
                      <w:id w:val="678168355"/>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0556D164" w14:textId="77777777" w:rsidR="00F9774F" w:rsidRPr="00ED64CA" w:rsidRDefault="008530DA" w:rsidP="00F9774F">
                  <w:pPr>
                    <w:spacing w:before="40" w:after="40"/>
                    <w:jc w:val="center"/>
                    <w:rPr>
                      <w:b/>
                      <w:bCs/>
                      <w:sz w:val="20"/>
                      <w:szCs w:val="20"/>
                    </w:rPr>
                  </w:pPr>
                  <w:sdt>
                    <w:sdtPr>
                      <w:rPr>
                        <w:b/>
                        <w:bCs/>
                        <w:sz w:val="20"/>
                        <w:szCs w:val="20"/>
                      </w:rPr>
                      <w:id w:val="334886270"/>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6EAB97C8" w14:textId="77777777" w:rsidR="00F9774F" w:rsidRPr="00ED64CA" w:rsidRDefault="008530DA" w:rsidP="00F9774F">
                  <w:pPr>
                    <w:spacing w:before="40" w:after="40"/>
                    <w:jc w:val="center"/>
                    <w:rPr>
                      <w:b/>
                      <w:bCs/>
                      <w:sz w:val="20"/>
                      <w:szCs w:val="20"/>
                    </w:rPr>
                  </w:pPr>
                  <w:sdt>
                    <w:sdtPr>
                      <w:rPr>
                        <w:b/>
                        <w:bCs/>
                        <w:sz w:val="20"/>
                        <w:szCs w:val="20"/>
                      </w:rPr>
                      <w:id w:val="1377351744"/>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47EAC52C" w14:textId="77777777" w:rsidR="00F9774F" w:rsidRPr="00ED64CA" w:rsidRDefault="008530DA" w:rsidP="00F9774F">
                  <w:pPr>
                    <w:spacing w:before="40" w:after="40"/>
                    <w:jc w:val="center"/>
                    <w:rPr>
                      <w:b/>
                      <w:bCs/>
                      <w:sz w:val="20"/>
                      <w:szCs w:val="20"/>
                    </w:rPr>
                  </w:pPr>
                  <w:sdt>
                    <w:sdtPr>
                      <w:rPr>
                        <w:b/>
                        <w:bCs/>
                        <w:sz w:val="20"/>
                        <w:szCs w:val="20"/>
                      </w:rPr>
                      <w:id w:val="-920555389"/>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0974410D" w14:textId="77777777" w:rsidR="00F9774F" w:rsidRDefault="00F9774F" w:rsidP="00052D1B">
            <w:pPr>
              <w:spacing w:before="40" w:after="40"/>
              <w:rPr>
                <w:sz w:val="18"/>
                <w:szCs w:val="18"/>
              </w:rPr>
            </w:pPr>
          </w:p>
          <w:p w14:paraId="59354562" w14:textId="77777777" w:rsidR="00F9774F" w:rsidRDefault="00F9774F"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6FAD068A" w14:textId="77777777" w:rsidTr="00497913">
              <w:tc>
                <w:tcPr>
                  <w:tcW w:w="652" w:type="dxa"/>
                </w:tcPr>
                <w:p w14:paraId="45D2FFC3" w14:textId="77777777" w:rsidR="00F9774F" w:rsidRPr="00ED64CA" w:rsidRDefault="008530DA" w:rsidP="00F9774F">
                  <w:pPr>
                    <w:spacing w:before="40" w:after="40"/>
                    <w:jc w:val="center"/>
                    <w:rPr>
                      <w:b/>
                      <w:bCs/>
                      <w:sz w:val="20"/>
                      <w:szCs w:val="20"/>
                    </w:rPr>
                  </w:pPr>
                  <w:sdt>
                    <w:sdtPr>
                      <w:rPr>
                        <w:b/>
                        <w:bCs/>
                        <w:sz w:val="20"/>
                        <w:szCs w:val="20"/>
                      </w:rPr>
                      <w:id w:val="-681129648"/>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4AAAA951" w14:textId="77777777" w:rsidR="00F9774F" w:rsidRPr="00ED64CA" w:rsidRDefault="008530DA" w:rsidP="00F9774F">
                  <w:pPr>
                    <w:spacing w:before="40" w:after="40"/>
                    <w:jc w:val="center"/>
                    <w:rPr>
                      <w:b/>
                      <w:bCs/>
                      <w:sz w:val="20"/>
                      <w:szCs w:val="20"/>
                    </w:rPr>
                  </w:pPr>
                  <w:sdt>
                    <w:sdtPr>
                      <w:rPr>
                        <w:b/>
                        <w:bCs/>
                        <w:sz w:val="20"/>
                        <w:szCs w:val="20"/>
                      </w:rPr>
                      <w:id w:val="1976480314"/>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102E5B3A" w14:textId="77777777" w:rsidR="00F9774F" w:rsidRPr="00ED64CA" w:rsidRDefault="008530DA" w:rsidP="00F9774F">
                  <w:pPr>
                    <w:spacing w:before="40" w:after="40"/>
                    <w:jc w:val="center"/>
                    <w:rPr>
                      <w:b/>
                      <w:bCs/>
                      <w:sz w:val="20"/>
                      <w:szCs w:val="20"/>
                    </w:rPr>
                  </w:pPr>
                  <w:sdt>
                    <w:sdtPr>
                      <w:rPr>
                        <w:b/>
                        <w:bCs/>
                        <w:sz w:val="20"/>
                        <w:szCs w:val="20"/>
                      </w:rPr>
                      <w:id w:val="-1057007242"/>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5D6E6888" w14:textId="77777777" w:rsidR="00F9774F" w:rsidRPr="00ED64CA" w:rsidRDefault="008530DA" w:rsidP="00F9774F">
                  <w:pPr>
                    <w:spacing w:before="40" w:after="40"/>
                    <w:jc w:val="center"/>
                    <w:rPr>
                      <w:b/>
                      <w:bCs/>
                      <w:sz w:val="20"/>
                      <w:szCs w:val="20"/>
                    </w:rPr>
                  </w:pPr>
                  <w:sdt>
                    <w:sdtPr>
                      <w:rPr>
                        <w:b/>
                        <w:bCs/>
                        <w:sz w:val="20"/>
                        <w:szCs w:val="20"/>
                      </w:rPr>
                      <w:id w:val="1521437500"/>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5B2CCFAD" w14:textId="77777777" w:rsidR="00F9774F" w:rsidRDefault="00F9774F" w:rsidP="00052D1B">
            <w:pPr>
              <w:spacing w:before="40" w:after="40"/>
              <w:rPr>
                <w:sz w:val="18"/>
                <w:szCs w:val="18"/>
              </w:rPr>
            </w:pPr>
          </w:p>
          <w:p w14:paraId="58742626" w14:textId="77777777" w:rsidR="00F9774F" w:rsidRDefault="00F9774F" w:rsidP="00052D1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F9774F" w:rsidRPr="00ED64CA" w14:paraId="298C9D7D" w14:textId="77777777" w:rsidTr="00497913">
              <w:tc>
                <w:tcPr>
                  <w:tcW w:w="652" w:type="dxa"/>
                </w:tcPr>
                <w:p w14:paraId="22F7C8B9" w14:textId="77777777" w:rsidR="00F9774F" w:rsidRPr="00ED64CA" w:rsidRDefault="008530DA" w:rsidP="00F9774F">
                  <w:pPr>
                    <w:spacing w:before="40" w:after="40"/>
                    <w:jc w:val="center"/>
                    <w:rPr>
                      <w:b/>
                      <w:bCs/>
                      <w:sz w:val="20"/>
                      <w:szCs w:val="20"/>
                    </w:rPr>
                  </w:pPr>
                  <w:sdt>
                    <w:sdtPr>
                      <w:rPr>
                        <w:b/>
                        <w:bCs/>
                        <w:sz w:val="20"/>
                        <w:szCs w:val="20"/>
                      </w:rPr>
                      <w:id w:val="-170951214"/>
                      <w14:checkbox>
                        <w14:checked w14:val="0"/>
                        <w14:checkedState w14:val="2612" w14:font="MS Gothic"/>
                        <w14:uncheckedState w14:val="2610" w14:font="MS Gothic"/>
                      </w14:checkbox>
                    </w:sdtPr>
                    <w:sdtContent>
                      <w:r w:rsidR="00F9774F">
                        <w:rPr>
                          <w:rFonts w:ascii="MS Gothic" w:eastAsia="MS Gothic" w:hAnsi="MS Gothic" w:hint="eastAsia"/>
                          <w:b/>
                          <w:bCs/>
                          <w:sz w:val="20"/>
                          <w:szCs w:val="20"/>
                        </w:rPr>
                        <w:t>☐</w:t>
                      </w:r>
                    </w:sdtContent>
                  </w:sdt>
                  <w:r w:rsidR="00F9774F" w:rsidRPr="00ED64CA">
                    <w:rPr>
                      <w:b/>
                      <w:bCs/>
                      <w:sz w:val="20"/>
                      <w:szCs w:val="20"/>
                    </w:rPr>
                    <w:t>1</w:t>
                  </w:r>
                </w:p>
              </w:tc>
              <w:tc>
                <w:tcPr>
                  <w:tcW w:w="652" w:type="dxa"/>
                </w:tcPr>
                <w:p w14:paraId="16DC216C" w14:textId="77777777" w:rsidR="00F9774F" w:rsidRPr="00ED64CA" w:rsidRDefault="008530DA" w:rsidP="00F9774F">
                  <w:pPr>
                    <w:spacing w:before="40" w:after="40"/>
                    <w:jc w:val="center"/>
                    <w:rPr>
                      <w:b/>
                      <w:bCs/>
                      <w:sz w:val="20"/>
                      <w:szCs w:val="20"/>
                    </w:rPr>
                  </w:pPr>
                  <w:sdt>
                    <w:sdtPr>
                      <w:rPr>
                        <w:b/>
                        <w:bCs/>
                        <w:sz w:val="20"/>
                        <w:szCs w:val="20"/>
                      </w:rPr>
                      <w:id w:val="708843843"/>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2</w:t>
                  </w:r>
                </w:p>
              </w:tc>
              <w:tc>
                <w:tcPr>
                  <w:tcW w:w="652" w:type="dxa"/>
                </w:tcPr>
                <w:p w14:paraId="15FAF943" w14:textId="77777777" w:rsidR="00F9774F" w:rsidRPr="00ED64CA" w:rsidRDefault="008530DA" w:rsidP="00F9774F">
                  <w:pPr>
                    <w:spacing w:before="40" w:after="40"/>
                    <w:jc w:val="center"/>
                    <w:rPr>
                      <w:b/>
                      <w:bCs/>
                      <w:sz w:val="20"/>
                      <w:szCs w:val="20"/>
                    </w:rPr>
                  </w:pPr>
                  <w:sdt>
                    <w:sdtPr>
                      <w:rPr>
                        <w:b/>
                        <w:bCs/>
                        <w:sz w:val="20"/>
                        <w:szCs w:val="20"/>
                      </w:rPr>
                      <w:id w:val="1867552735"/>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3</w:t>
                  </w:r>
                </w:p>
              </w:tc>
              <w:tc>
                <w:tcPr>
                  <w:tcW w:w="653" w:type="dxa"/>
                </w:tcPr>
                <w:p w14:paraId="58394EB0" w14:textId="77777777" w:rsidR="00F9774F" w:rsidRPr="00ED64CA" w:rsidRDefault="008530DA" w:rsidP="00F9774F">
                  <w:pPr>
                    <w:spacing w:before="40" w:after="40"/>
                    <w:jc w:val="center"/>
                    <w:rPr>
                      <w:b/>
                      <w:bCs/>
                      <w:sz w:val="20"/>
                      <w:szCs w:val="20"/>
                    </w:rPr>
                  </w:pPr>
                  <w:sdt>
                    <w:sdtPr>
                      <w:rPr>
                        <w:b/>
                        <w:bCs/>
                        <w:sz w:val="20"/>
                        <w:szCs w:val="20"/>
                      </w:rPr>
                      <w:id w:val="-1786579786"/>
                      <w14:checkbox>
                        <w14:checked w14:val="0"/>
                        <w14:checkedState w14:val="2612" w14:font="MS Gothic"/>
                        <w14:uncheckedState w14:val="2610" w14:font="MS Gothic"/>
                      </w14:checkbox>
                    </w:sdtPr>
                    <w:sdtContent>
                      <w:r w:rsidR="00F9774F" w:rsidRPr="00ED64CA">
                        <w:rPr>
                          <w:rFonts w:ascii="MS Gothic" w:eastAsia="MS Gothic" w:hAnsi="MS Gothic" w:hint="eastAsia"/>
                          <w:b/>
                          <w:bCs/>
                          <w:sz w:val="20"/>
                          <w:szCs w:val="20"/>
                        </w:rPr>
                        <w:t>☐</w:t>
                      </w:r>
                    </w:sdtContent>
                  </w:sdt>
                  <w:r w:rsidR="00F9774F" w:rsidRPr="00ED64CA">
                    <w:rPr>
                      <w:b/>
                      <w:bCs/>
                      <w:sz w:val="20"/>
                      <w:szCs w:val="20"/>
                    </w:rPr>
                    <w:t>4</w:t>
                  </w:r>
                </w:p>
              </w:tc>
            </w:tr>
          </w:tbl>
          <w:p w14:paraId="400FAB8A" w14:textId="61280C7E" w:rsidR="00F9774F" w:rsidRPr="00052D1B" w:rsidRDefault="00F9774F" w:rsidP="00052D1B">
            <w:pPr>
              <w:spacing w:before="40" w:after="40"/>
              <w:rPr>
                <w:sz w:val="18"/>
                <w:szCs w:val="18"/>
              </w:rPr>
            </w:pPr>
          </w:p>
        </w:tc>
      </w:tr>
      <w:tr w:rsidR="00FC03C5" w14:paraId="533A262E" w14:textId="77777777" w:rsidTr="00B81831">
        <w:tblPrEx>
          <w:tblBorders>
            <w:top w:val="single" w:sz="8" w:space="0" w:color="auto"/>
            <w:left w:val="single" w:sz="8" w:space="0" w:color="auto"/>
            <w:bottom w:val="single" w:sz="8" w:space="0" w:color="auto"/>
            <w:insideH w:val="single" w:sz="8" w:space="0" w:color="auto"/>
            <w:insideV w:val="single" w:sz="8" w:space="0" w:color="auto"/>
          </w:tblBorders>
        </w:tblPrEx>
        <w:tc>
          <w:tcPr>
            <w:tcW w:w="4896" w:type="dxa"/>
            <w:gridSpan w:val="4"/>
            <w:tcBorders>
              <w:right w:val="single" w:sz="8" w:space="0" w:color="auto"/>
            </w:tcBorders>
            <w:shd w:val="clear" w:color="auto" w:fill="FFFAEF"/>
          </w:tcPr>
          <w:p w14:paraId="40000E0B" w14:textId="748D6E8A" w:rsidR="00FC03C5" w:rsidRPr="00F9774F" w:rsidRDefault="00DE5D87" w:rsidP="00FC03C5">
            <w:pPr>
              <w:spacing w:before="40" w:after="40"/>
              <w:jc w:val="center"/>
              <w:rPr>
                <w:b/>
                <w:sz w:val="20"/>
                <w:szCs w:val="20"/>
                <w:u w:val="single"/>
              </w:rPr>
            </w:pPr>
            <w:r>
              <w:rPr>
                <w:b/>
                <w:sz w:val="20"/>
                <w:szCs w:val="20"/>
                <w:u w:val="single"/>
              </w:rPr>
              <w:t xml:space="preserve">Greatest Strengths for </w:t>
            </w:r>
            <w:r w:rsidR="00403538">
              <w:rPr>
                <w:b/>
                <w:sz w:val="20"/>
                <w:szCs w:val="20"/>
                <w:u w:val="single"/>
              </w:rPr>
              <w:t>Postsecondary Transitions</w:t>
            </w:r>
          </w:p>
          <w:p w14:paraId="5D279A8E" w14:textId="77777777" w:rsidR="00FC03C5" w:rsidRPr="00C57918" w:rsidRDefault="00FC03C5" w:rsidP="00053312">
            <w:pPr>
              <w:spacing w:before="40" w:after="40"/>
              <w:rPr>
                <w:sz w:val="18"/>
                <w:szCs w:val="18"/>
              </w:rPr>
            </w:pPr>
          </w:p>
          <w:p w14:paraId="53611C44" w14:textId="77777777" w:rsidR="00FC03C5" w:rsidRDefault="00FC03C5" w:rsidP="00053312">
            <w:pPr>
              <w:spacing w:before="40" w:after="40"/>
              <w:rPr>
                <w:sz w:val="18"/>
                <w:szCs w:val="18"/>
              </w:rPr>
            </w:pPr>
          </w:p>
          <w:p w14:paraId="4F863F02" w14:textId="77777777" w:rsidR="00FC03C5" w:rsidRDefault="00FC03C5" w:rsidP="00053312">
            <w:pPr>
              <w:spacing w:before="40" w:after="40"/>
              <w:rPr>
                <w:sz w:val="18"/>
                <w:szCs w:val="18"/>
              </w:rPr>
            </w:pPr>
          </w:p>
          <w:p w14:paraId="6C2C158D" w14:textId="77777777" w:rsidR="00FC03C5" w:rsidRDefault="00FC03C5" w:rsidP="00053312">
            <w:pPr>
              <w:spacing w:before="40" w:after="40"/>
              <w:rPr>
                <w:sz w:val="18"/>
                <w:szCs w:val="18"/>
              </w:rPr>
            </w:pPr>
          </w:p>
          <w:p w14:paraId="5B48B5B0" w14:textId="77777777" w:rsidR="00FC03C5" w:rsidRDefault="00FC03C5" w:rsidP="00053312">
            <w:pPr>
              <w:spacing w:before="40" w:after="40"/>
              <w:rPr>
                <w:sz w:val="18"/>
                <w:szCs w:val="18"/>
              </w:rPr>
            </w:pPr>
          </w:p>
          <w:p w14:paraId="31971EF2" w14:textId="77777777" w:rsidR="00F9774F" w:rsidRDefault="00F9774F" w:rsidP="00053312">
            <w:pPr>
              <w:spacing w:before="40" w:after="40"/>
              <w:rPr>
                <w:sz w:val="18"/>
                <w:szCs w:val="18"/>
              </w:rPr>
            </w:pPr>
          </w:p>
          <w:p w14:paraId="28585D95" w14:textId="77777777" w:rsidR="00F9774F" w:rsidRDefault="00F9774F" w:rsidP="00053312">
            <w:pPr>
              <w:spacing w:before="40" w:after="40"/>
              <w:rPr>
                <w:sz w:val="18"/>
                <w:szCs w:val="18"/>
              </w:rPr>
            </w:pPr>
          </w:p>
          <w:p w14:paraId="78A0C894" w14:textId="77777777" w:rsidR="00F9774F" w:rsidRDefault="00F9774F" w:rsidP="00053312">
            <w:pPr>
              <w:spacing w:before="40" w:after="40"/>
              <w:rPr>
                <w:sz w:val="18"/>
                <w:szCs w:val="18"/>
              </w:rPr>
            </w:pPr>
          </w:p>
          <w:p w14:paraId="50D4651E" w14:textId="77777777" w:rsidR="00F9774F" w:rsidRDefault="00F9774F" w:rsidP="00053312">
            <w:pPr>
              <w:spacing w:before="40" w:after="40"/>
              <w:rPr>
                <w:sz w:val="18"/>
                <w:szCs w:val="18"/>
              </w:rPr>
            </w:pPr>
          </w:p>
          <w:p w14:paraId="241C865C" w14:textId="77777777" w:rsidR="00F9774F" w:rsidRDefault="00F9774F" w:rsidP="00053312">
            <w:pPr>
              <w:spacing w:before="40" w:after="40"/>
              <w:rPr>
                <w:sz w:val="18"/>
                <w:szCs w:val="18"/>
              </w:rPr>
            </w:pPr>
          </w:p>
          <w:p w14:paraId="488628D3" w14:textId="77777777" w:rsidR="00F9774F" w:rsidRDefault="00F9774F" w:rsidP="00053312">
            <w:pPr>
              <w:spacing w:before="40" w:after="40"/>
              <w:rPr>
                <w:sz w:val="18"/>
                <w:szCs w:val="18"/>
              </w:rPr>
            </w:pPr>
          </w:p>
          <w:p w14:paraId="6B561807" w14:textId="77777777" w:rsidR="00F9774F" w:rsidRDefault="00F9774F" w:rsidP="00053312">
            <w:pPr>
              <w:spacing w:before="40" w:after="40"/>
              <w:rPr>
                <w:sz w:val="18"/>
                <w:szCs w:val="18"/>
              </w:rPr>
            </w:pPr>
          </w:p>
          <w:p w14:paraId="3ED9191F" w14:textId="77777777" w:rsidR="00F9774F" w:rsidRDefault="00F9774F" w:rsidP="00053312">
            <w:pPr>
              <w:spacing w:before="40" w:after="40"/>
              <w:rPr>
                <w:sz w:val="18"/>
                <w:szCs w:val="18"/>
              </w:rPr>
            </w:pPr>
          </w:p>
          <w:p w14:paraId="5237C3B5" w14:textId="77777777" w:rsidR="00F9774F" w:rsidRDefault="00F9774F" w:rsidP="00053312">
            <w:pPr>
              <w:spacing w:before="40" w:after="40"/>
              <w:rPr>
                <w:sz w:val="18"/>
                <w:szCs w:val="18"/>
              </w:rPr>
            </w:pPr>
          </w:p>
          <w:p w14:paraId="208024D0" w14:textId="77777777" w:rsidR="00F9774F" w:rsidRDefault="00F9774F" w:rsidP="00053312">
            <w:pPr>
              <w:spacing w:before="40" w:after="40"/>
              <w:rPr>
                <w:sz w:val="18"/>
                <w:szCs w:val="18"/>
              </w:rPr>
            </w:pPr>
          </w:p>
          <w:p w14:paraId="78627723" w14:textId="77777777" w:rsidR="00F9774F" w:rsidRDefault="00F9774F" w:rsidP="00053312">
            <w:pPr>
              <w:spacing w:before="40" w:after="40"/>
              <w:rPr>
                <w:sz w:val="18"/>
                <w:szCs w:val="18"/>
              </w:rPr>
            </w:pPr>
          </w:p>
          <w:p w14:paraId="7243BCA7" w14:textId="6F10F3B6" w:rsidR="00F9774F" w:rsidRDefault="00F9774F" w:rsidP="00053312">
            <w:pPr>
              <w:spacing w:before="40" w:after="40"/>
              <w:rPr>
                <w:sz w:val="18"/>
                <w:szCs w:val="18"/>
              </w:rPr>
            </w:pPr>
          </w:p>
        </w:tc>
        <w:tc>
          <w:tcPr>
            <w:tcW w:w="4896" w:type="dxa"/>
            <w:gridSpan w:val="3"/>
            <w:tcBorders>
              <w:right w:val="single" w:sz="8" w:space="0" w:color="auto"/>
            </w:tcBorders>
            <w:shd w:val="clear" w:color="auto" w:fill="FFFAEF"/>
          </w:tcPr>
          <w:p w14:paraId="18BD93B2" w14:textId="73EA1A51" w:rsidR="00FC03C5" w:rsidRPr="00F9774F" w:rsidRDefault="00FC03C5" w:rsidP="00E51950">
            <w:pPr>
              <w:spacing w:before="40" w:after="40"/>
              <w:jc w:val="center"/>
              <w:rPr>
                <w:b/>
                <w:sz w:val="20"/>
                <w:szCs w:val="20"/>
              </w:rPr>
            </w:pPr>
            <w:r w:rsidRPr="00F9774F">
              <w:rPr>
                <w:b/>
                <w:sz w:val="20"/>
                <w:szCs w:val="20"/>
                <w:u w:val="single"/>
              </w:rPr>
              <w:t xml:space="preserve">Key Challenges for </w:t>
            </w:r>
            <w:r w:rsidR="00403538">
              <w:rPr>
                <w:b/>
                <w:sz w:val="20"/>
                <w:szCs w:val="20"/>
                <w:u w:val="single"/>
              </w:rPr>
              <w:t>Postsecondary Transitions</w:t>
            </w:r>
          </w:p>
          <w:p w14:paraId="3BD7C3C5" w14:textId="77777777" w:rsidR="00FC03C5" w:rsidRDefault="00FC03C5" w:rsidP="00053312">
            <w:pPr>
              <w:spacing w:before="40" w:after="40"/>
              <w:rPr>
                <w:sz w:val="18"/>
                <w:szCs w:val="18"/>
              </w:rPr>
            </w:pPr>
          </w:p>
        </w:tc>
        <w:tc>
          <w:tcPr>
            <w:tcW w:w="4896" w:type="dxa"/>
            <w:gridSpan w:val="3"/>
            <w:tcBorders>
              <w:right w:val="single" w:sz="8" w:space="0" w:color="auto"/>
            </w:tcBorders>
            <w:shd w:val="clear" w:color="auto" w:fill="FFFAEF"/>
          </w:tcPr>
          <w:p w14:paraId="5F7E2791" w14:textId="5AD3F180" w:rsidR="00FC03C5" w:rsidRPr="00F9774F" w:rsidRDefault="00DE5D87" w:rsidP="00FC03C5">
            <w:pPr>
              <w:spacing w:before="40" w:after="40"/>
              <w:jc w:val="center"/>
              <w:rPr>
                <w:sz w:val="20"/>
                <w:szCs w:val="20"/>
              </w:rPr>
            </w:pPr>
            <w:r>
              <w:rPr>
                <w:b/>
                <w:sz w:val="20"/>
                <w:szCs w:val="20"/>
                <w:u w:val="single"/>
              </w:rPr>
              <w:t xml:space="preserve">Top Priorities for </w:t>
            </w:r>
            <w:r w:rsidR="00403538">
              <w:rPr>
                <w:b/>
                <w:sz w:val="20"/>
                <w:szCs w:val="20"/>
                <w:u w:val="single"/>
              </w:rPr>
              <w:t>Postsecondary Transitions</w:t>
            </w:r>
          </w:p>
          <w:p w14:paraId="05C0DF10" w14:textId="77777777" w:rsidR="00FC03C5" w:rsidRPr="00C57918" w:rsidRDefault="00FC03C5" w:rsidP="00053312">
            <w:pPr>
              <w:spacing w:before="40" w:after="40"/>
              <w:rPr>
                <w:sz w:val="18"/>
                <w:szCs w:val="18"/>
              </w:rPr>
            </w:pPr>
          </w:p>
        </w:tc>
      </w:tr>
    </w:tbl>
    <w:p w14:paraId="769B7734" w14:textId="77777777" w:rsidR="002B3C0C" w:rsidRDefault="002B3C0C"/>
    <w:tbl>
      <w:tblPr>
        <w:tblStyle w:val="TableGrid"/>
        <w:tblW w:w="14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60"/>
        <w:gridCol w:w="1038"/>
        <w:gridCol w:w="780"/>
        <w:gridCol w:w="1638"/>
        <w:gridCol w:w="2418"/>
        <w:gridCol w:w="840"/>
        <w:gridCol w:w="1578"/>
        <w:gridCol w:w="415"/>
        <w:gridCol w:w="2903"/>
      </w:tblGrid>
      <w:tr w:rsidR="00914217" w14:paraId="58C0F3E2" w14:textId="77777777" w:rsidTr="009C08EF">
        <w:tc>
          <w:tcPr>
            <w:tcW w:w="14688"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8D7837B" w14:textId="70E50ABE" w:rsidR="00914217" w:rsidRPr="009C08EF" w:rsidRDefault="00CB5A47" w:rsidP="00053312">
            <w:pPr>
              <w:spacing w:before="40" w:after="40"/>
              <w:jc w:val="center"/>
              <w:rPr>
                <w:b/>
                <w:color w:val="002060"/>
                <w:sz w:val="20"/>
                <w:szCs w:val="20"/>
                <w:u w:val="single"/>
              </w:rPr>
            </w:pPr>
            <w:r w:rsidRPr="009C08EF">
              <w:rPr>
                <w:b/>
                <w:color w:val="002060"/>
                <w:sz w:val="20"/>
                <w:szCs w:val="20"/>
                <w:u w:val="single"/>
              </w:rPr>
              <w:lastRenderedPageBreak/>
              <w:t>Priority 4</w:t>
            </w:r>
            <w:r w:rsidR="00914217" w:rsidRPr="009C08EF">
              <w:rPr>
                <w:b/>
                <w:color w:val="002060"/>
                <w:sz w:val="20"/>
                <w:szCs w:val="20"/>
                <w:u w:val="single"/>
              </w:rPr>
              <w:t xml:space="preserve">: </w:t>
            </w:r>
            <w:r w:rsidR="00361A2B">
              <w:rPr>
                <w:b/>
                <w:color w:val="002060"/>
                <w:sz w:val="20"/>
                <w:szCs w:val="20"/>
                <w:u w:val="single"/>
              </w:rPr>
              <w:t>Closing</w:t>
            </w:r>
            <w:r w:rsidR="002A772C">
              <w:rPr>
                <w:b/>
                <w:color w:val="002060"/>
                <w:sz w:val="20"/>
                <w:szCs w:val="20"/>
                <w:u w:val="single"/>
              </w:rPr>
              <w:t xml:space="preserve"> </w:t>
            </w:r>
            <w:r w:rsidRPr="009C08EF">
              <w:rPr>
                <w:b/>
                <w:color w:val="002060"/>
                <w:sz w:val="20"/>
                <w:szCs w:val="20"/>
                <w:u w:val="single"/>
              </w:rPr>
              <w:t>Equity</w:t>
            </w:r>
            <w:r w:rsidR="00361A2B">
              <w:rPr>
                <w:b/>
                <w:color w:val="002060"/>
                <w:sz w:val="20"/>
                <w:szCs w:val="20"/>
                <w:u w:val="single"/>
              </w:rPr>
              <w:t xml:space="preserve"> Gaps</w:t>
            </w:r>
          </w:p>
          <w:p w14:paraId="7EDBFE8A" w14:textId="5419C5C3" w:rsidR="00914217" w:rsidRPr="009C08EF" w:rsidRDefault="00361A2B" w:rsidP="00914217">
            <w:pPr>
              <w:spacing w:before="40" w:after="40"/>
              <w:rPr>
                <w:color w:val="002060"/>
                <w:sz w:val="18"/>
                <w:szCs w:val="18"/>
              </w:rPr>
            </w:pPr>
            <w:r>
              <w:rPr>
                <w:color w:val="002060"/>
                <w:sz w:val="18"/>
                <w:szCs w:val="18"/>
              </w:rPr>
              <w:t xml:space="preserve">Close equity gaps within career preparation </w:t>
            </w:r>
            <w:r w:rsidR="000B14AB">
              <w:rPr>
                <w:color w:val="002060"/>
                <w:sz w:val="18"/>
                <w:szCs w:val="18"/>
              </w:rPr>
              <w:t>systems</w:t>
            </w:r>
            <w:r>
              <w:rPr>
                <w:color w:val="002060"/>
                <w:sz w:val="18"/>
                <w:szCs w:val="18"/>
              </w:rPr>
              <w:t xml:space="preserve"> by defining</w:t>
            </w:r>
            <w:r w:rsidR="000B14AB">
              <w:rPr>
                <w:color w:val="002060"/>
                <w:sz w:val="18"/>
                <w:szCs w:val="18"/>
              </w:rPr>
              <w:t xml:space="preserve"> and incorporating</w:t>
            </w:r>
            <w:r>
              <w:rPr>
                <w:color w:val="002060"/>
                <w:sz w:val="18"/>
                <w:szCs w:val="18"/>
              </w:rPr>
              <w:t xml:space="preserve"> a P-20 career development continuum into career advisement models; using data at school/institution, district, and state levels to identify and address</w:t>
            </w:r>
            <w:r w:rsidR="000B14AB">
              <w:rPr>
                <w:color w:val="002060"/>
                <w:sz w:val="18"/>
                <w:szCs w:val="18"/>
              </w:rPr>
              <w:t xml:space="preserve"> gaps in access, participation, and outcomes; building cultural competency among leaders; and engaging students, families, and staff to </w:t>
            </w:r>
            <w:r w:rsidR="00742572">
              <w:rPr>
                <w:color w:val="002060"/>
                <w:sz w:val="18"/>
                <w:szCs w:val="18"/>
              </w:rPr>
              <w:t xml:space="preserve">identify barriers to and </w:t>
            </w:r>
            <w:r w:rsidR="000B14AB">
              <w:rPr>
                <w:color w:val="002060"/>
                <w:sz w:val="18"/>
                <w:szCs w:val="18"/>
              </w:rPr>
              <w:t>build equitable participation and achievement in high-quality pathways.</w:t>
            </w:r>
          </w:p>
        </w:tc>
      </w:tr>
      <w:tr w:rsidR="00914217" w14:paraId="56E17513" w14:textId="77777777" w:rsidTr="00053312">
        <w:tc>
          <w:tcPr>
            <w:tcW w:w="2418" w:type="dxa"/>
            <w:tcBorders>
              <w:top w:val="single" w:sz="8" w:space="0" w:color="auto"/>
            </w:tcBorders>
            <w:shd w:val="clear" w:color="auto" w:fill="auto"/>
          </w:tcPr>
          <w:p w14:paraId="7D5919C3" w14:textId="77777777" w:rsidR="00914217" w:rsidRPr="00462EC2" w:rsidRDefault="00914217" w:rsidP="00053312">
            <w:pPr>
              <w:jc w:val="center"/>
              <w:rPr>
                <w:b/>
                <w:sz w:val="12"/>
                <w:szCs w:val="12"/>
                <w:u w:val="single"/>
              </w:rPr>
            </w:pPr>
          </w:p>
        </w:tc>
        <w:tc>
          <w:tcPr>
            <w:tcW w:w="1698" w:type="dxa"/>
            <w:gridSpan w:val="2"/>
            <w:tcBorders>
              <w:top w:val="single" w:sz="8" w:space="0" w:color="auto"/>
            </w:tcBorders>
            <w:shd w:val="clear" w:color="auto" w:fill="auto"/>
          </w:tcPr>
          <w:p w14:paraId="5E3E46EC" w14:textId="77777777" w:rsidR="00914217" w:rsidRPr="00462EC2" w:rsidRDefault="00914217" w:rsidP="00053312">
            <w:pPr>
              <w:jc w:val="center"/>
              <w:rPr>
                <w:b/>
                <w:sz w:val="12"/>
                <w:szCs w:val="12"/>
                <w:u w:val="single"/>
              </w:rPr>
            </w:pPr>
          </w:p>
        </w:tc>
        <w:tc>
          <w:tcPr>
            <w:tcW w:w="2418" w:type="dxa"/>
            <w:gridSpan w:val="2"/>
            <w:tcBorders>
              <w:top w:val="single" w:sz="8" w:space="0" w:color="auto"/>
            </w:tcBorders>
            <w:shd w:val="clear" w:color="auto" w:fill="auto"/>
          </w:tcPr>
          <w:p w14:paraId="1633B9F5" w14:textId="77777777" w:rsidR="00914217" w:rsidRPr="00462EC2" w:rsidRDefault="00914217" w:rsidP="00053312">
            <w:pPr>
              <w:jc w:val="center"/>
              <w:rPr>
                <w:b/>
                <w:sz w:val="12"/>
                <w:szCs w:val="12"/>
                <w:u w:val="single"/>
              </w:rPr>
            </w:pPr>
          </w:p>
        </w:tc>
        <w:tc>
          <w:tcPr>
            <w:tcW w:w="2418" w:type="dxa"/>
            <w:tcBorders>
              <w:top w:val="single" w:sz="8" w:space="0" w:color="auto"/>
            </w:tcBorders>
            <w:shd w:val="clear" w:color="auto" w:fill="auto"/>
          </w:tcPr>
          <w:p w14:paraId="5971A6E5" w14:textId="77777777" w:rsidR="00914217" w:rsidRPr="00462EC2" w:rsidRDefault="00914217" w:rsidP="00053312">
            <w:pPr>
              <w:jc w:val="center"/>
              <w:rPr>
                <w:b/>
                <w:sz w:val="12"/>
                <w:szCs w:val="12"/>
                <w:u w:val="single"/>
              </w:rPr>
            </w:pPr>
          </w:p>
        </w:tc>
        <w:tc>
          <w:tcPr>
            <w:tcW w:w="2418" w:type="dxa"/>
            <w:gridSpan w:val="2"/>
            <w:tcBorders>
              <w:top w:val="single" w:sz="8" w:space="0" w:color="auto"/>
            </w:tcBorders>
            <w:shd w:val="clear" w:color="auto" w:fill="auto"/>
          </w:tcPr>
          <w:p w14:paraId="781C968D" w14:textId="77777777" w:rsidR="00914217" w:rsidRPr="00462EC2" w:rsidRDefault="00914217" w:rsidP="00053312">
            <w:pPr>
              <w:jc w:val="center"/>
              <w:rPr>
                <w:b/>
                <w:sz w:val="12"/>
                <w:szCs w:val="12"/>
                <w:u w:val="single"/>
              </w:rPr>
            </w:pPr>
          </w:p>
        </w:tc>
        <w:tc>
          <w:tcPr>
            <w:tcW w:w="3318" w:type="dxa"/>
            <w:gridSpan w:val="2"/>
            <w:tcBorders>
              <w:top w:val="single" w:sz="8" w:space="0" w:color="auto"/>
            </w:tcBorders>
            <w:shd w:val="clear" w:color="auto" w:fill="auto"/>
          </w:tcPr>
          <w:p w14:paraId="7BC8869F" w14:textId="77777777" w:rsidR="00914217" w:rsidRPr="00462EC2" w:rsidRDefault="00914217" w:rsidP="00053312">
            <w:pPr>
              <w:jc w:val="center"/>
              <w:rPr>
                <w:b/>
                <w:sz w:val="12"/>
                <w:szCs w:val="12"/>
                <w:u w:val="single"/>
              </w:rPr>
            </w:pPr>
          </w:p>
        </w:tc>
      </w:tr>
      <w:tr w:rsidR="00E139EB" w14:paraId="45DCB178"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4ADA3CC7" w14:textId="037A17A9" w:rsidR="00E139EB" w:rsidRPr="00E139EB" w:rsidRDefault="00E139EB" w:rsidP="00E139EB">
            <w:pPr>
              <w:spacing w:before="40" w:after="40"/>
              <w:jc w:val="center"/>
              <w:rPr>
                <w:b/>
                <w:sz w:val="20"/>
                <w:szCs w:val="20"/>
              </w:rPr>
            </w:pPr>
            <w:r w:rsidRPr="00E139EB">
              <w:rPr>
                <w:b/>
                <w:sz w:val="20"/>
                <w:szCs w:val="20"/>
              </w:rPr>
              <w:t>Target Outcomes</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315A6A7F" w14:textId="098AFC55" w:rsidR="00E139EB" w:rsidRPr="00E139EB" w:rsidRDefault="00E139EB" w:rsidP="00E139EB">
            <w:pPr>
              <w:spacing w:before="40" w:after="40"/>
              <w:jc w:val="center"/>
              <w:rPr>
                <w:b/>
                <w:sz w:val="20"/>
                <w:szCs w:val="20"/>
              </w:rPr>
            </w:pPr>
            <w:r w:rsidRPr="00E139EB">
              <w:rPr>
                <w:b/>
                <w:sz w:val="20"/>
                <w:szCs w:val="20"/>
              </w:rPr>
              <w:t>Supporting Criteria</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74B4598F" w14:textId="6C2499D9" w:rsidR="00E139EB" w:rsidRPr="00E139EB" w:rsidRDefault="00E139EB" w:rsidP="00E139EB">
            <w:pPr>
              <w:spacing w:before="40" w:after="40"/>
              <w:jc w:val="center"/>
              <w:rPr>
                <w:sz w:val="18"/>
                <w:szCs w:val="18"/>
              </w:rPr>
            </w:pPr>
            <w:r w:rsidRPr="00E139EB">
              <w:rPr>
                <w:b/>
                <w:sz w:val="20"/>
                <w:szCs w:val="20"/>
              </w:rPr>
              <w:t>Current Status</w:t>
            </w:r>
          </w:p>
        </w:tc>
      </w:tr>
      <w:tr w:rsidR="00E139EB" w14:paraId="6CC23522"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B92BDC8" w14:textId="0FE4AC7F" w:rsidR="00E139EB" w:rsidRDefault="00E139EB" w:rsidP="00E139EB">
            <w:pPr>
              <w:spacing w:before="40" w:after="40"/>
              <w:ind w:left="360" w:hanging="331"/>
              <w:rPr>
                <w:sz w:val="18"/>
                <w:szCs w:val="18"/>
              </w:rPr>
            </w:pPr>
            <w:r>
              <w:rPr>
                <w:sz w:val="18"/>
                <w:szCs w:val="18"/>
              </w:rPr>
              <w:t>4</w:t>
            </w:r>
            <w:r w:rsidRPr="003B6205">
              <w:rPr>
                <w:sz w:val="18"/>
                <w:szCs w:val="18"/>
              </w:rPr>
              <w:t xml:space="preserve">a.   </w:t>
            </w:r>
            <w:r w:rsidRPr="000D1FFF">
              <w:rPr>
                <w:b/>
                <w:bCs/>
                <w:sz w:val="18"/>
                <w:szCs w:val="18"/>
              </w:rPr>
              <w:t>Defined P-20 career development continuum</w:t>
            </w:r>
            <w:r>
              <w:rPr>
                <w:b/>
                <w:bCs/>
                <w:sz w:val="18"/>
                <w:szCs w:val="18"/>
              </w:rPr>
              <w:t xml:space="preserve">: </w:t>
            </w:r>
            <w:r>
              <w:rPr>
                <w:sz w:val="18"/>
                <w:szCs w:val="18"/>
              </w:rPr>
              <w:t>A career development continuum provides a framework and supports that help level the playing field for students underrepresented in in-demand, high-skill, family-sustaining wage jobs.</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4F034D0B" w14:textId="77777777" w:rsidR="00E139EB" w:rsidRPr="005A05AB" w:rsidRDefault="00E139EB" w:rsidP="00E139EB">
            <w:pPr>
              <w:spacing w:before="40" w:after="40"/>
              <w:rPr>
                <w:b/>
                <w:sz w:val="20"/>
                <w:szCs w:val="20"/>
              </w:rPr>
            </w:pPr>
            <w:r w:rsidRPr="005A05AB">
              <w:rPr>
                <w:b/>
                <w:sz w:val="20"/>
                <w:szCs w:val="20"/>
              </w:rPr>
              <w:t>Target outcome 4a: Defined P-20 career development continuum</w:t>
            </w:r>
          </w:p>
          <w:p w14:paraId="4CAF8EA4" w14:textId="4E3D6628" w:rsidR="00E139EB" w:rsidRDefault="00E139EB" w:rsidP="00A44D7D">
            <w:pPr>
              <w:pStyle w:val="ListParagraph"/>
              <w:numPr>
                <w:ilvl w:val="0"/>
                <w:numId w:val="4"/>
              </w:numPr>
              <w:spacing w:before="40" w:after="40"/>
              <w:ind w:left="314"/>
              <w:rPr>
                <w:sz w:val="18"/>
                <w:szCs w:val="18"/>
              </w:rPr>
            </w:pPr>
            <w:r>
              <w:rPr>
                <w:sz w:val="18"/>
                <w:szCs w:val="18"/>
              </w:rPr>
              <w:t>The state has designed a P-20 career development continuum that</w:t>
            </w:r>
            <w:r w:rsidRPr="00914217">
              <w:rPr>
                <w:sz w:val="18"/>
                <w:szCs w:val="18"/>
              </w:rPr>
              <w:t xml:space="preserve"> progress</w:t>
            </w:r>
            <w:r>
              <w:rPr>
                <w:sz w:val="18"/>
                <w:szCs w:val="18"/>
              </w:rPr>
              <w:t>es</w:t>
            </w:r>
            <w:r w:rsidRPr="00914217">
              <w:rPr>
                <w:sz w:val="18"/>
                <w:szCs w:val="18"/>
              </w:rPr>
              <w:t xml:space="preserve"> from</w:t>
            </w:r>
            <w:r>
              <w:rPr>
                <w:sz w:val="18"/>
                <w:szCs w:val="18"/>
              </w:rPr>
              <w:t xml:space="preserve"> career</w:t>
            </w:r>
            <w:r w:rsidRPr="00914217">
              <w:rPr>
                <w:sz w:val="18"/>
                <w:szCs w:val="18"/>
              </w:rPr>
              <w:t xml:space="preserve"> awareness and exploration </w:t>
            </w:r>
            <w:r>
              <w:rPr>
                <w:sz w:val="18"/>
                <w:szCs w:val="18"/>
              </w:rPr>
              <w:t xml:space="preserve">in elementary and middle grades </w:t>
            </w:r>
            <w:r w:rsidRPr="00914217">
              <w:rPr>
                <w:sz w:val="18"/>
                <w:szCs w:val="18"/>
              </w:rPr>
              <w:t>to preparation and training</w:t>
            </w:r>
            <w:r>
              <w:rPr>
                <w:sz w:val="18"/>
                <w:szCs w:val="18"/>
              </w:rPr>
              <w:t xml:space="preserve"> in high school and college</w:t>
            </w:r>
            <w:r w:rsidRPr="00914217">
              <w:rPr>
                <w:sz w:val="18"/>
                <w:szCs w:val="18"/>
              </w:rPr>
              <w:t xml:space="preserve"> to </w:t>
            </w:r>
            <w:r>
              <w:rPr>
                <w:sz w:val="18"/>
                <w:szCs w:val="18"/>
              </w:rPr>
              <w:t>help students</w:t>
            </w:r>
            <w:r w:rsidRPr="00914217">
              <w:rPr>
                <w:sz w:val="18"/>
                <w:szCs w:val="18"/>
              </w:rPr>
              <w:t xml:space="preserve"> make informed choices about long-term</w:t>
            </w:r>
            <w:r>
              <w:rPr>
                <w:sz w:val="18"/>
                <w:szCs w:val="18"/>
              </w:rPr>
              <w:t xml:space="preserve"> professional</w:t>
            </w:r>
            <w:r w:rsidRPr="00914217">
              <w:rPr>
                <w:sz w:val="18"/>
                <w:szCs w:val="18"/>
              </w:rPr>
              <w:t xml:space="preserve"> goals.</w:t>
            </w:r>
            <w:r>
              <w:rPr>
                <w:sz w:val="18"/>
                <w:szCs w:val="18"/>
              </w:rPr>
              <w:br/>
            </w:r>
          </w:p>
          <w:p w14:paraId="05FFF5C9" w14:textId="2484FD60" w:rsidR="00E139EB" w:rsidRPr="006B6C8B" w:rsidRDefault="00E139EB" w:rsidP="00A44D7D">
            <w:pPr>
              <w:pStyle w:val="ListParagraph"/>
              <w:numPr>
                <w:ilvl w:val="0"/>
                <w:numId w:val="4"/>
              </w:numPr>
              <w:spacing w:before="40" w:after="40"/>
              <w:rPr>
                <w:sz w:val="18"/>
                <w:szCs w:val="18"/>
              </w:rPr>
            </w:pPr>
            <w:r>
              <w:rPr>
                <w:sz w:val="18"/>
                <w:szCs w:val="18"/>
              </w:rPr>
              <w:t>E</w:t>
            </w:r>
            <w:r w:rsidRPr="00914217">
              <w:rPr>
                <w:sz w:val="18"/>
                <w:szCs w:val="18"/>
              </w:rPr>
              <w:t>vidence-based, sca</w:t>
            </w:r>
            <w:r>
              <w:rPr>
                <w:sz w:val="18"/>
                <w:szCs w:val="18"/>
              </w:rPr>
              <w:t>lable career advisement models have taken root in regions across the state and within the GCRI community</w:t>
            </w:r>
            <w:r w:rsidRPr="00914217">
              <w:rPr>
                <w:sz w:val="18"/>
                <w:szCs w:val="18"/>
              </w:rPr>
              <w:t xml:space="preserve"> to help </w:t>
            </w:r>
            <w:r>
              <w:rPr>
                <w:b/>
                <w:sz w:val="18"/>
                <w:szCs w:val="18"/>
                <w:u w:val="single"/>
              </w:rPr>
              <w:t>each</w:t>
            </w:r>
            <w:r w:rsidRPr="00914217">
              <w:rPr>
                <w:sz w:val="18"/>
                <w:szCs w:val="18"/>
              </w:rPr>
              <w:t xml:space="preserve"> student</w:t>
            </w:r>
            <w:r>
              <w:rPr>
                <w:sz w:val="18"/>
                <w:szCs w:val="18"/>
              </w:rPr>
              <w:t xml:space="preserve"> - </w:t>
            </w:r>
            <w:r w:rsidRPr="00914217">
              <w:rPr>
                <w:sz w:val="18"/>
                <w:szCs w:val="18"/>
              </w:rPr>
              <w:t>beginning in middle school</w:t>
            </w:r>
            <w:r>
              <w:rPr>
                <w:sz w:val="18"/>
                <w:szCs w:val="18"/>
              </w:rPr>
              <w:t xml:space="preserve"> -</w:t>
            </w:r>
            <w:r w:rsidRPr="00914217">
              <w:rPr>
                <w:sz w:val="18"/>
                <w:szCs w:val="18"/>
              </w:rPr>
              <w:t xml:space="preserve"> make sound, well-informed decisions about course and pathway participation</w:t>
            </w:r>
            <w:r>
              <w:rPr>
                <w:sz w:val="18"/>
                <w:szCs w:val="18"/>
              </w:rPr>
              <w:t>.</w:t>
            </w:r>
            <w:r>
              <w:rPr>
                <w:sz w:val="18"/>
                <w:szCs w:val="18"/>
              </w:rPr>
              <w:br/>
            </w:r>
          </w:p>
          <w:p w14:paraId="4784C915" w14:textId="5EF688E4" w:rsidR="00E139EB" w:rsidRDefault="003C11B9" w:rsidP="00A44D7D">
            <w:pPr>
              <w:pStyle w:val="ListParagraph"/>
              <w:numPr>
                <w:ilvl w:val="0"/>
                <w:numId w:val="4"/>
              </w:numPr>
              <w:spacing w:before="40" w:after="40"/>
              <w:rPr>
                <w:sz w:val="18"/>
                <w:szCs w:val="18"/>
              </w:rPr>
            </w:pPr>
            <w:r>
              <w:rPr>
                <w:sz w:val="18"/>
                <w:szCs w:val="18"/>
              </w:rPr>
              <w:t>D</w:t>
            </w:r>
            <w:r w:rsidR="00E139EB">
              <w:rPr>
                <w:sz w:val="18"/>
                <w:szCs w:val="18"/>
              </w:rPr>
              <w:t xml:space="preserve">istrict and </w:t>
            </w:r>
            <w:r>
              <w:rPr>
                <w:sz w:val="18"/>
                <w:szCs w:val="18"/>
              </w:rPr>
              <w:t>postsecondary</w:t>
            </w:r>
            <w:r w:rsidR="00E139EB">
              <w:rPr>
                <w:sz w:val="18"/>
                <w:szCs w:val="18"/>
              </w:rPr>
              <w:t xml:space="preserve"> education partners provide robust counseling/career advising services</w:t>
            </w:r>
            <w:r w:rsidR="0029444E">
              <w:rPr>
                <w:sz w:val="18"/>
                <w:szCs w:val="18"/>
              </w:rPr>
              <w:t xml:space="preserve"> aligned with the post-COVID economy</w:t>
            </w:r>
            <w:r w:rsidR="00E139EB">
              <w:rPr>
                <w:sz w:val="18"/>
                <w:szCs w:val="18"/>
              </w:rPr>
              <w:t xml:space="preserve"> to fully meet the needs of each student. </w:t>
            </w:r>
            <w:r w:rsidR="00E139EB">
              <w:rPr>
                <w:sz w:val="18"/>
                <w:szCs w:val="18"/>
              </w:rPr>
              <w:br/>
            </w:r>
          </w:p>
          <w:p w14:paraId="4C22F2C9" w14:textId="1A938CE6" w:rsidR="00E139EB" w:rsidRDefault="00E139EB" w:rsidP="00A44D7D">
            <w:pPr>
              <w:pStyle w:val="ListParagraph"/>
              <w:numPr>
                <w:ilvl w:val="0"/>
                <w:numId w:val="4"/>
              </w:numPr>
              <w:spacing w:before="40" w:after="40"/>
              <w:rPr>
                <w:sz w:val="18"/>
                <w:szCs w:val="18"/>
              </w:rPr>
            </w:pPr>
            <w:r>
              <w:rPr>
                <w:sz w:val="18"/>
                <w:szCs w:val="18"/>
              </w:rPr>
              <w:t>All learners, with support from their schools and their families, develop and regularly update a robust individualized career and academic plan that begins in the middle grades and includes supports for decisions about course-taking, postsecondary options, credentials, WBL, and other key aspects of career pathways.</w:t>
            </w:r>
            <w:r>
              <w:rPr>
                <w:sz w:val="18"/>
                <w:szCs w:val="18"/>
              </w:rPr>
              <w:br/>
            </w:r>
          </w:p>
          <w:p w14:paraId="37877B1F" w14:textId="39191D2D" w:rsidR="00E139EB" w:rsidRPr="00E139EB" w:rsidRDefault="00E139EB" w:rsidP="00A44D7D">
            <w:pPr>
              <w:pStyle w:val="ListParagraph"/>
              <w:numPr>
                <w:ilvl w:val="0"/>
                <w:numId w:val="4"/>
              </w:numPr>
              <w:spacing w:before="40" w:after="40"/>
              <w:rPr>
                <w:sz w:val="18"/>
                <w:szCs w:val="18"/>
              </w:rPr>
            </w:pPr>
            <w:r>
              <w:rPr>
                <w:sz w:val="18"/>
                <w:szCs w:val="18"/>
              </w:rPr>
              <w:t xml:space="preserve">GCRI district and </w:t>
            </w:r>
            <w:r w:rsidR="003C11B9">
              <w:rPr>
                <w:sz w:val="18"/>
                <w:szCs w:val="18"/>
              </w:rPr>
              <w:t>postsecondary</w:t>
            </w:r>
            <w:r>
              <w:rPr>
                <w:sz w:val="18"/>
                <w:szCs w:val="18"/>
              </w:rPr>
              <w:t xml:space="preserve"> education partners provide a full array of wraparound supports to fully meet the individualized needs of each student and support their success, including but not limited to academic counseling, transportation, child care, </w:t>
            </w:r>
            <w:r w:rsidR="00B2653C">
              <w:rPr>
                <w:sz w:val="18"/>
                <w:szCs w:val="18"/>
              </w:rPr>
              <w:t xml:space="preserve">technology supports, </w:t>
            </w:r>
            <w:r>
              <w:rPr>
                <w:sz w:val="18"/>
                <w:szCs w:val="18"/>
              </w:rPr>
              <w:t>and mental health services.</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2FE991EC" w14:textId="77777777" w:rsidR="00E139EB" w:rsidRDefault="00E139E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0568AC91" w14:textId="77777777" w:rsidTr="00497913">
              <w:tc>
                <w:tcPr>
                  <w:tcW w:w="652" w:type="dxa"/>
                </w:tcPr>
                <w:p w14:paraId="74CE8429" w14:textId="77777777" w:rsidR="005A05AB" w:rsidRPr="00ED64CA" w:rsidRDefault="008530DA" w:rsidP="005A05AB">
                  <w:pPr>
                    <w:spacing w:before="40" w:after="40"/>
                    <w:jc w:val="center"/>
                    <w:rPr>
                      <w:b/>
                      <w:bCs/>
                      <w:sz w:val="20"/>
                      <w:szCs w:val="20"/>
                    </w:rPr>
                  </w:pPr>
                  <w:sdt>
                    <w:sdtPr>
                      <w:rPr>
                        <w:b/>
                        <w:bCs/>
                        <w:sz w:val="20"/>
                        <w:szCs w:val="20"/>
                      </w:rPr>
                      <w:id w:val="1562360869"/>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31B10DDC" w14:textId="77777777" w:rsidR="005A05AB" w:rsidRPr="00ED64CA" w:rsidRDefault="008530DA" w:rsidP="005A05AB">
                  <w:pPr>
                    <w:spacing w:before="40" w:after="40"/>
                    <w:jc w:val="center"/>
                    <w:rPr>
                      <w:b/>
                      <w:bCs/>
                      <w:sz w:val="20"/>
                      <w:szCs w:val="20"/>
                    </w:rPr>
                  </w:pPr>
                  <w:sdt>
                    <w:sdtPr>
                      <w:rPr>
                        <w:b/>
                        <w:bCs/>
                        <w:sz w:val="20"/>
                        <w:szCs w:val="20"/>
                      </w:rPr>
                      <w:id w:val="112057413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706D793A" w14:textId="77777777" w:rsidR="005A05AB" w:rsidRPr="00ED64CA" w:rsidRDefault="008530DA" w:rsidP="005A05AB">
                  <w:pPr>
                    <w:spacing w:before="40" w:after="40"/>
                    <w:jc w:val="center"/>
                    <w:rPr>
                      <w:b/>
                      <w:bCs/>
                      <w:sz w:val="20"/>
                      <w:szCs w:val="20"/>
                    </w:rPr>
                  </w:pPr>
                  <w:sdt>
                    <w:sdtPr>
                      <w:rPr>
                        <w:b/>
                        <w:bCs/>
                        <w:sz w:val="20"/>
                        <w:szCs w:val="20"/>
                      </w:rPr>
                      <w:id w:val="-1314024296"/>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32D08AC6" w14:textId="77777777" w:rsidR="005A05AB" w:rsidRPr="00ED64CA" w:rsidRDefault="008530DA" w:rsidP="005A05AB">
                  <w:pPr>
                    <w:spacing w:before="40" w:after="40"/>
                    <w:jc w:val="center"/>
                    <w:rPr>
                      <w:b/>
                      <w:bCs/>
                      <w:sz w:val="20"/>
                      <w:szCs w:val="20"/>
                    </w:rPr>
                  </w:pPr>
                  <w:sdt>
                    <w:sdtPr>
                      <w:rPr>
                        <w:b/>
                        <w:bCs/>
                        <w:sz w:val="20"/>
                        <w:szCs w:val="20"/>
                      </w:rPr>
                      <w:id w:val="-334767387"/>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6F72308D" w14:textId="77777777" w:rsidR="005A05AB" w:rsidRDefault="005A05AB" w:rsidP="00E139EB">
            <w:pPr>
              <w:spacing w:before="40" w:after="40"/>
              <w:rPr>
                <w:sz w:val="18"/>
                <w:szCs w:val="18"/>
              </w:rPr>
            </w:pPr>
          </w:p>
          <w:p w14:paraId="219B6126" w14:textId="77777777" w:rsidR="005A05AB" w:rsidRDefault="005A05A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7CD7E747" w14:textId="77777777" w:rsidTr="00497913">
              <w:tc>
                <w:tcPr>
                  <w:tcW w:w="652" w:type="dxa"/>
                </w:tcPr>
                <w:p w14:paraId="568CC269" w14:textId="77777777" w:rsidR="005A05AB" w:rsidRPr="00ED64CA" w:rsidRDefault="008530DA" w:rsidP="005A05AB">
                  <w:pPr>
                    <w:spacing w:before="40" w:after="40"/>
                    <w:jc w:val="center"/>
                    <w:rPr>
                      <w:b/>
                      <w:bCs/>
                      <w:sz w:val="20"/>
                      <w:szCs w:val="20"/>
                    </w:rPr>
                  </w:pPr>
                  <w:sdt>
                    <w:sdtPr>
                      <w:rPr>
                        <w:b/>
                        <w:bCs/>
                        <w:sz w:val="20"/>
                        <w:szCs w:val="20"/>
                      </w:rPr>
                      <w:id w:val="-1043051576"/>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710B2629" w14:textId="77777777" w:rsidR="005A05AB" w:rsidRPr="00ED64CA" w:rsidRDefault="008530DA" w:rsidP="005A05AB">
                  <w:pPr>
                    <w:spacing w:before="40" w:after="40"/>
                    <w:jc w:val="center"/>
                    <w:rPr>
                      <w:b/>
                      <w:bCs/>
                      <w:sz w:val="20"/>
                      <w:szCs w:val="20"/>
                    </w:rPr>
                  </w:pPr>
                  <w:sdt>
                    <w:sdtPr>
                      <w:rPr>
                        <w:b/>
                        <w:bCs/>
                        <w:sz w:val="20"/>
                        <w:szCs w:val="20"/>
                      </w:rPr>
                      <w:id w:val="-178796537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53C3E1F0" w14:textId="77777777" w:rsidR="005A05AB" w:rsidRPr="00ED64CA" w:rsidRDefault="008530DA" w:rsidP="005A05AB">
                  <w:pPr>
                    <w:spacing w:before="40" w:after="40"/>
                    <w:jc w:val="center"/>
                    <w:rPr>
                      <w:b/>
                      <w:bCs/>
                      <w:sz w:val="20"/>
                      <w:szCs w:val="20"/>
                    </w:rPr>
                  </w:pPr>
                  <w:sdt>
                    <w:sdtPr>
                      <w:rPr>
                        <w:b/>
                        <w:bCs/>
                        <w:sz w:val="20"/>
                        <w:szCs w:val="20"/>
                      </w:rPr>
                      <w:id w:val="-1510059716"/>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1CBF9586" w14:textId="77777777" w:rsidR="005A05AB" w:rsidRPr="00ED64CA" w:rsidRDefault="008530DA" w:rsidP="005A05AB">
                  <w:pPr>
                    <w:spacing w:before="40" w:after="40"/>
                    <w:jc w:val="center"/>
                    <w:rPr>
                      <w:b/>
                      <w:bCs/>
                      <w:sz w:val="20"/>
                      <w:szCs w:val="20"/>
                    </w:rPr>
                  </w:pPr>
                  <w:sdt>
                    <w:sdtPr>
                      <w:rPr>
                        <w:b/>
                        <w:bCs/>
                        <w:sz w:val="20"/>
                        <w:szCs w:val="20"/>
                      </w:rPr>
                      <w:id w:val="-1142887154"/>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3A74CE17" w14:textId="77777777" w:rsidR="005A05AB" w:rsidRDefault="005A05AB" w:rsidP="00E139EB">
            <w:pPr>
              <w:spacing w:before="40" w:after="40"/>
              <w:rPr>
                <w:sz w:val="18"/>
                <w:szCs w:val="18"/>
              </w:rPr>
            </w:pPr>
          </w:p>
          <w:p w14:paraId="2CFA3906" w14:textId="77777777" w:rsidR="005A05AB" w:rsidRDefault="005A05A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55AC4CD9" w14:textId="77777777" w:rsidTr="00497913">
              <w:tc>
                <w:tcPr>
                  <w:tcW w:w="652" w:type="dxa"/>
                </w:tcPr>
                <w:p w14:paraId="55B5F925" w14:textId="77777777" w:rsidR="005A05AB" w:rsidRPr="00ED64CA" w:rsidRDefault="008530DA" w:rsidP="005A05AB">
                  <w:pPr>
                    <w:spacing w:before="40" w:after="40"/>
                    <w:jc w:val="center"/>
                    <w:rPr>
                      <w:b/>
                      <w:bCs/>
                      <w:sz w:val="20"/>
                      <w:szCs w:val="20"/>
                    </w:rPr>
                  </w:pPr>
                  <w:sdt>
                    <w:sdtPr>
                      <w:rPr>
                        <w:b/>
                        <w:bCs/>
                        <w:sz w:val="20"/>
                        <w:szCs w:val="20"/>
                      </w:rPr>
                      <w:id w:val="752097368"/>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4123F122" w14:textId="77777777" w:rsidR="005A05AB" w:rsidRPr="00ED64CA" w:rsidRDefault="008530DA" w:rsidP="005A05AB">
                  <w:pPr>
                    <w:spacing w:before="40" w:after="40"/>
                    <w:jc w:val="center"/>
                    <w:rPr>
                      <w:b/>
                      <w:bCs/>
                      <w:sz w:val="20"/>
                      <w:szCs w:val="20"/>
                    </w:rPr>
                  </w:pPr>
                  <w:sdt>
                    <w:sdtPr>
                      <w:rPr>
                        <w:b/>
                        <w:bCs/>
                        <w:sz w:val="20"/>
                        <w:szCs w:val="20"/>
                      </w:rPr>
                      <w:id w:val="972563637"/>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1AE68663" w14:textId="77777777" w:rsidR="005A05AB" w:rsidRPr="00ED64CA" w:rsidRDefault="008530DA" w:rsidP="005A05AB">
                  <w:pPr>
                    <w:spacing w:before="40" w:after="40"/>
                    <w:jc w:val="center"/>
                    <w:rPr>
                      <w:b/>
                      <w:bCs/>
                      <w:sz w:val="20"/>
                      <w:szCs w:val="20"/>
                    </w:rPr>
                  </w:pPr>
                  <w:sdt>
                    <w:sdtPr>
                      <w:rPr>
                        <w:b/>
                        <w:bCs/>
                        <w:sz w:val="20"/>
                        <w:szCs w:val="20"/>
                      </w:rPr>
                      <w:id w:val="2078003964"/>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18BE400F" w14:textId="77777777" w:rsidR="005A05AB" w:rsidRPr="00ED64CA" w:rsidRDefault="008530DA" w:rsidP="005A05AB">
                  <w:pPr>
                    <w:spacing w:before="40" w:after="40"/>
                    <w:jc w:val="center"/>
                    <w:rPr>
                      <w:b/>
                      <w:bCs/>
                      <w:sz w:val="20"/>
                      <w:szCs w:val="20"/>
                    </w:rPr>
                  </w:pPr>
                  <w:sdt>
                    <w:sdtPr>
                      <w:rPr>
                        <w:b/>
                        <w:bCs/>
                        <w:sz w:val="20"/>
                        <w:szCs w:val="20"/>
                      </w:rPr>
                      <w:id w:val="1820302981"/>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669FA020" w14:textId="77777777" w:rsidR="005A05AB" w:rsidRDefault="005A05A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377D7743" w14:textId="77777777" w:rsidTr="00497913">
              <w:tc>
                <w:tcPr>
                  <w:tcW w:w="652" w:type="dxa"/>
                </w:tcPr>
                <w:p w14:paraId="40375E61" w14:textId="77777777" w:rsidR="005A05AB" w:rsidRPr="00ED64CA" w:rsidRDefault="008530DA" w:rsidP="005A05AB">
                  <w:pPr>
                    <w:spacing w:before="40" w:after="40"/>
                    <w:jc w:val="center"/>
                    <w:rPr>
                      <w:b/>
                      <w:bCs/>
                      <w:sz w:val="20"/>
                      <w:szCs w:val="20"/>
                    </w:rPr>
                  </w:pPr>
                  <w:sdt>
                    <w:sdtPr>
                      <w:rPr>
                        <w:b/>
                        <w:bCs/>
                        <w:sz w:val="20"/>
                        <w:szCs w:val="20"/>
                      </w:rPr>
                      <w:id w:val="698202067"/>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272C8E53" w14:textId="77777777" w:rsidR="005A05AB" w:rsidRPr="00ED64CA" w:rsidRDefault="008530DA" w:rsidP="005A05AB">
                  <w:pPr>
                    <w:spacing w:before="40" w:after="40"/>
                    <w:jc w:val="center"/>
                    <w:rPr>
                      <w:b/>
                      <w:bCs/>
                      <w:sz w:val="20"/>
                      <w:szCs w:val="20"/>
                    </w:rPr>
                  </w:pPr>
                  <w:sdt>
                    <w:sdtPr>
                      <w:rPr>
                        <w:b/>
                        <w:bCs/>
                        <w:sz w:val="20"/>
                        <w:szCs w:val="20"/>
                      </w:rPr>
                      <w:id w:val="-1896727454"/>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735CCCE2" w14:textId="77777777" w:rsidR="005A05AB" w:rsidRPr="00ED64CA" w:rsidRDefault="008530DA" w:rsidP="005A05AB">
                  <w:pPr>
                    <w:spacing w:before="40" w:after="40"/>
                    <w:jc w:val="center"/>
                    <w:rPr>
                      <w:b/>
                      <w:bCs/>
                      <w:sz w:val="20"/>
                      <w:szCs w:val="20"/>
                    </w:rPr>
                  </w:pPr>
                  <w:sdt>
                    <w:sdtPr>
                      <w:rPr>
                        <w:b/>
                        <w:bCs/>
                        <w:sz w:val="20"/>
                        <w:szCs w:val="20"/>
                      </w:rPr>
                      <w:id w:val="-957489533"/>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4A2CE5EC" w14:textId="77777777" w:rsidR="005A05AB" w:rsidRPr="00ED64CA" w:rsidRDefault="008530DA" w:rsidP="005A05AB">
                  <w:pPr>
                    <w:spacing w:before="40" w:after="40"/>
                    <w:jc w:val="center"/>
                    <w:rPr>
                      <w:b/>
                      <w:bCs/>
                      <w:sz w:val="20"/>
                      <w:szCs w:val="20"/>
                    </w:rPr>
                  </w:pPr>
                  <w:sdt>
                    <w:sdtPr>
                      <w:rPr>
                        <w:b/>
                        <w:bCs/>
                        <w:sz w:val="20"/>
                        <w:szCs w:val="20"/>
                      </w:rPr>
                      <w:id w:val="-1092538510"/>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501641DC" w14:textId="77777777" w:rsidR="005A05AB" w:rsidRDefault="005A05AB" w:rsidP="00E139EB">
            <w:pPr>
              <w:spacing w:before="40" w:after="40"/>
              <w:rPr>
                <w:sz w:val="18"/>
                <w:szCs w:val="18"/>
              </w:rPr>
            </w:pPr>
          </w:p>
          <w:p w14:paraId="19CEB809" w14:textId="77777777" w:rsidR="005A05AB" w:rsidRDefault="005A05A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74E2268C" w14:textId="77777777" w:rsidTr="00497913">
              <w:tc>
                <w:tcPr>
                  <w:tcW w:w="652" w:type="dxa"/>
                </w:tcPr>
                <w:p w14:paraId="2C4B4032" w14:textId="77777777" w:rsidR="005A05AB" w:rsidRPr="00ED64CA" w:rsidRDefault="008530DA" w:rsidP="005A05AB">
                  <w:pPr>
                    <w:spacing w:before="40" w:after="40"/>
                    <w:jc w:val="center"/>
                    <w:rPr>
                      <w:b/>
                      <w:bCs/>
                      <w:sz w:val="20"/>
                      <w:szCs w:val="20"/>
                    </w:rPr>
                  </w:pPr>
                  <w:sdt>
                    <w:sdtPr>
                      <w:rPr>
                        <w:b/>
                        <w:bCs/>
                        <w:sz w:val="20"/>
                        <w:szCs w:val="20"/>
                      </w:rPr>
                      <w:id w:val="1424842903"/>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5DEA9621" w14:textId="77777777" w:rsidR="005A05AB" w:rsidRPr="00ED64CA" w:rsidRDefault="008530DA" w:rsidP="005A05AB">
                  <w:pPr>
                    <w:spacing w:before="40" w:after="40"/>
                    <w:jc w:val="center"/>
                    <w:rPr>
                      <w:b/>
                      <w:bCs/>
                      <w:sz w:val="20"/>
                      <w:szCs w:val="20"/>
                    </w:rPr>
                  </w:pPr>
                  <w:sdt>
                    <w:sdtPr>
                      <w:rPr>
                        <w:b/>
                        <w:bCs/>
                        <w:sz w:val="20"/>
                        <w:szCs w:val="20"/>
                      </w:rPr>
                      <w:id w:val="-781179599"/>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0B8E5346" w14:textId="77777777" w:rsidR="005A05AB" w:rsidRPr="00ED64CA" w:rsidRDefault="008530DA" w:rsidP="005A05AB">
                  <w:pPr>
                    <w:spacing w:before="40" w:after="40"/>
                    <w:jc w:val="center"/>
                    <w:rPr>
                      <w:b/>
                      <w:bCs/>
                      <w:sz w:val="20"/>
                      <w:szCs w:val="20"/>
                    </w:rPr>
                  </w:pPr>
                  <w:sdt>
                    <w:sdtPr>
                      <w:rPr>
                        <w:b/>
                        <w:bCs/>
                        <w:sz w:val="20"/>
                        <w:szCs w:val="20"/>
                      </w:rPr>
                      <w:id w:val="622503106"/>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6E1D4B64" w14:textId="77777777" w:rsidR="005A05AB" w:rsidRPr="00ED64CA" w:rsidRDefault="008530DA" w:rsidP="005A05AB">
                  <w:pPr>
                    <w:spacing w:before="40" w:after="40"/>
                    <w:jc w:val="center"/>
                    <w:rPr>
                      <w:b/>
                      <w:bCs/>
                      <w:sz w:val="20"/>
                      <w:szCs w:val="20"/>
                    </w:rPr>
                  </w:pPr>
                  <w:sdt>
                    <w:sdtPr>
                      <w:rPr>
                        <w:b/>
                        <w:bCs/>
                        <w:sz w:val="20"/>
                        <w:szCs w:val="20"/>
                      </w:rPr>
                      <w:id w:val="-29114460"/>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638B2974" w14:textId="22EDC65E" w:rsidR="005A05AB" w:rsidRPr="00E139EB" w:rsidRDefault="005A05AB" w:rsidP="00E139EB">
            <w:pPr>
              <w:spacing w:before="40" w:after="40"/>
              <w:rPr>
                <w:sz w:val="18"/>
                <w:szCs w:val="18"/>
              </w:rPr>
            </w:pPr>
          </w:p>
        </w:tc>
      </w:tr>
      <w:tr w:rsidR="00E139EB" w14:paraId="718921A0"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061A05CA" w14:textId="4BC73B3B" w:rsidR="00E139EB" w:rsidRPr="00E139EB" w:rsidRDefault="00E139EB" w:rsidP="00E139EB">
            <w:pPr>
              <w:spacing w:before="40" w:after="40"/>
              <w:ind w:left="360" w:hanging="331"/>
              <w:rPr>
                <w:bCs/>
                <w:sz w:val="18"/>
                <w:szCs w:val="18"/>
              </w:rPr>
            </w:pPr>
            <w:r>
              <w:rPr>
                <w:sz w:val="18"/>
                <w:szCs w:val="18"/>
              </w:rPr>
              <w:t>4</w:t>
            </w:r>
            <w:r w:rsidRPr="003B6205">
              <w:rPr>
                <w:sz w:val="18"/>
                <w:szCs w:val="18"/>
              </w:rPr>
              <w:t xml:space="preserve">b.   </w:t>
            </w:r>
            <w:r w:rsidRPr="000D1FFF">
              <w:rPr>
                <w:b/>
                <w:bCs/>
                <w:sz w:val="18"/>
                <w:szCs w:val="18"/>
              </w:rPr>
              <w:t>Identifying and addressing equity gaps</w:t>
            </w:r>
            <w:r>
              <w:rPr>
                <w:b/>
                <w:bCs/>
                <w:sz w:val="18"/>
                <w:szCs w:val="18"/>
              </w:rPr>
              <w:t xml:space="preserve">:  </w:t>
            </w:r>
            <w:r w:rsidRPr="00C0130A">
              <w:rPr>
                <w:bCs/>
                <w:sz w:val="18"/>
                <w:szCs w:val="18"/>
              </w:rPr>
              <w:t xml:space="preserve">Data-informed strategies </w:t>
            </w:r>
            <w:r>
              <w:rPr>
                <w:bCs/>
                <w:sz w:val="18"/>
                <w:szCs w:val="18"/>
              </w:rPr>
              <w:t xml:space="preserve">are used at all levels – state, district, school/institution - to identify and strategically address equity gaps in pathways access, participation, and outcomes. </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47BEB0C1" w14:textId="77777777" w:rsidR="005A05AB" w:rsidRPr="005A05AB" w:rsidRDefault="005A05AB" w:rsidP="005A05AB">
            <w:pPr>
              <w:spacing w:before="40" w:after="40"/>
              <w:rPr>
                <w:b/>
                <w:sz w:val="20"/>
                <w:szCs w:val="20"/>
              </w:rPr>
            </w:pPr>
            <w:r w:rsidRPr="005A05AB">
              <w:rPr>
                <w:b/>
                <w:sz w:val="20"/>
                <w:szCs w:val="20"/>
              </w:rPr>
              <w:t>Target outcome 4b: Process of identifying and addressing equity gaps (by outcomes)</w:t>
            </w:r>
          </w:p>
          <w:p w14:paraId="798FA863" w14:textId="7F59B6A1" w:rsidR="005A05AB" w:rsidRPr="003C11B9" w:rsidRDefault="005A05AB" w:rsidP="00A44D7D">
            <w:pPr>
              <w:pStyle w:val="ListParagraph"/>
              <w:numPr>
                <w:ilvl w:val="0"/>
                <w:numId w:val="18"/>
              </w:numPr>
              <w:spacing w:before="40" w:after="40"/>
              <w:ind w:left="405"/>
              <w:rPr>
                <w:sz w:val="18"/>
                <w:szCs w:val="18"/>
              </w:rPr>
            </w:pPr>
            <w:r w:rsidRPr="003C11B9">
              <w:rPr>
                <w:sz w:val="18"/>
                <w:szCs w:val="18"/>
              </w:rPr>
              <w:t xml:space="preserve">State K-12 agency </w:t>
            </w:r>
            <w:r w:rsidRPr="003C11B9">
              <w:rPr>
                <w:sz w:val="18"/>
                <w:szCs w:val="18"/>
                <w:u w:val="single"/>
              </w:rPr>
              <w:t>and</w:t>
            </w:r>
            <w:r w:rsidRPr="003C11B9">
              <w:rPr>
                <w:sz w:val="18"/>
                <w:szCs w:val="18"/>
              </w:rPr>
              <w:t xml:space="preserve"> higher education agency have an established annual process to review student-level career pathways participation and outcome data, disaggregated by special populations and subgroups, to identify any major gaps between student populations and/or between pathway content areas; conduct root cause analyses; and identify strategies and solutions for addressing those gaps. </w:t>
            </w:r>
            <w:r w:rsidRPr="003C11B9">
              <w:rPr>
                <w:sz w:val="18"/>
                <w:szCs w:val="18"/>
              </w:rPr>
              <w:br/>
            </w:r>
          </w:p>
          <w:p w14:paraId="173BDAB9" w14:textId="6584738E" w:rsidR="005A05AB" w:rsidRDefault="005A05AB" w:rsidP="00A44D7D">
            <w:pPr>
              <w:pStyle w:val="ListParagraph"/>
              <w:numPr>
                <w:ilvl w:val="0"/>
                <w:numId w:val="18"/>
              </w:numPr>
              <w:spacing w:before="40" w:after="40"/>
              <w:ind w:left="405"/>
              <w:rPr>
                <w:sz w:val="18"/>
                <w:szCs w:val="18"/>
              </w:rPr>
            </w:pPr>
            <w:r>
              <w:rPr>
                <w:sz w:val="18"/>
                <w:szCs w:val="18"/>
              </w:rPr>
              <w:t>State K-12 and higher education agencies collaboratively review the results of each other’s analyses to identify important understandings that can and should inform future efforts.</w:t>
            </w:r>
            <w:r>
              <w:rPr>
                <w:sz w:val="18"/>
                <w:szCs w:val="18"/>
              </w:rPr>
              <w:br/>
            </w:r>
          </w:p>
          <w:p w14:paraId="2F5CD420" w14:textId="3CA8F4A6" w:rsidR="00E139EB" w:rsidRPr="005A05AB" w:rsidRDefault="005A05AB" w:rsidP="00A44D7D">
            <w:pPr>
              <w:pStyle w:val="ListParagraph"/>
              <w:numPr>
                <w:ilvl w:val="0"/>
                <w:numId w:val="18"/>
              </w:numPr>
              <w:spacing w:before="40" w:after="40"/>
              <w:ind w:left="405"/>
              <w:rPr>
                <w:sz w:val="18"/>
                <w:szCs w:val="18"/>
              </w:rPr>
            </w:pPr>
            <w:r>
              <w:rPr>
                <w:sz w:val="18"/>
                <w:szCs w:val="18"/>
              </w:rPr>
              <w:t xml:space="preserve">District and </w:t>
            </w:r>
            <w:r w:rsidR="003C11B9">
              <w:rPr>
                <w:sz w:val="18"/>
                <w:szCs w:val="18"/>
              </w:rPr>
              <w:t>postsecondary</w:t>
            </w:r>
            <w:r>
              <w:rPr>
                <w:sz w:val="18"/>
                <w:szCs w:val="18"/>
              </w:rPr>
              <w:t xml:space="preserve"> education partners collaboratively review the results of each other’s analyses to identify important understandings that can and should inform future efforts</w:t>
            </w:r>
            <w:r w:rsidR="0029444E">
              <w:rPr>
                <w:sz w:val="18"/>
                <w:szCs w:val="18"/>
              </w:rPr>
              <w:t>.</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39A1CB81" w14:textId="77777777" w:rsidR="00E139EB" w:rsidRDefault="00E139E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7C6711E5" w14:textId="77777777" w:rsidTr="00497913">
              <w:tc>
                <w:tcPr>
                  <w:tcW w:w="652" w:type="dxa"/>
                </w:tcPr>
                <w:p w14:paraId="4FA39D53" w14:textId="77777777" w:rsidR="005A05AB" w:rsidRPr="00ED64CA" w:rsidRDefault="008530DA" w:rsidP="005A05AB">
                  <w:pPr>
                    <w:spacing w:before="40" w:after="40"/>
                    <w:jc w:val="center"/>
                    <w:rPr>
                      <w:b/>
                      <w:bCs/>
                      <w:sz w:val="20"/>
                      <w:szCs w:val="20"/>
                    </w:rPr>
                  </w:pPr>
                  <w:sdt>
                    <w:sdtPr>
                      <w:rPr>
                        <w:b/>
                        <w:bCs/>
                        <w:sz w:val="20"/>
                        <w:szCs w:val="20"/>
                      </w:rPr>
                      <w:id w:val="504481931"/>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52D76187" w14:textId="77777777" w:rsidR="005A05AB" w:rsidRPr="00ED64CA" w:rsidRDefault="008530DA" w:rsidP="005A05AB">
                  <w:pPr>
                    <w:spacing w:before="40" w:after="40"/>
                    <w:jc w:val="center"/>
                    <w:rPr>
                      <w:b/>
                      <w:bCs/>
                      <w:sz w:val="20"/>
                      <w:szCs w:val="20"/>
                    </w:rPr>
                  </w:pPr>
                  <w:sdt>
                    <w:sdtPr>
                      <w:rPr>
                        <w:b/>
                        <w:bCs/>
                        <w:sz w:val="20"/>
                        <w:szCs w:val="20"/>
                      </w:rPr>
                      <w:id w:val="-295290181"/>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2BC552DC" w14:textId="77777777" w:rsidR="005A05AB" w:rsidRPr="00ED64CA" w:rsidRDefault="008530DA" w:rsidP="005A05AB">
                  <w:pPr>
                    <w:spacing w:before="40" w:after="40"/>
                    <w:jc w:val="center"/>
                    <w:rPr>
                      <w:b/>
                      <w:bCs/>
                      <w:sz w:val="20"/>
                      <w:szCs w:val="20"/>
                    </w:rPr>
                  </w:pPr>
                  <w:sdt>
                    <w:sdtPr>
                      <w:rPr>
                        <w:b/>
                        <w:bCs/>
                        <w:sz w:val="20"/>
                        <w:szCs w:val="20"/>
                      </w:rPr>
                      <w:id w:val="200631539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4C087B17" w14:textId="77777777" w:rsidR="005A05AB" w:rsidRPr="00ED64CA" w:rsidRDefault="008530DA" w:rsidP="005A05AB">
                  <w:pPr>
                    <w:spacing w:before="40" w:after="40"/>
                    <w:jc w:val="center"/>
                    <w:rPr>
                      <w:b/>
                      <w:bCs/>
                      <w:sz w:val="20"/>
                      <w:szCs w:val="20"/>
                    </w:rPr>
                  </w:pPr>
                  <w:sdt>
                    <w:sdtPr>
                      <w:rPr>
                        <w:b/>
                        <w:bCs/>
                        <w:sz w:val="20"/>
                        <w:szCs w:val="20"/>
                      </w:rPr>
                      <w:id w:val="-1931723946"/>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73C90613" w14:textId="77777777" w:rsidR="005A05AB" w:rsidRDefault="005A05AB" w:rsidP="00E139EB">
            <w:pPr>
              <w:spacing w:before="40" w:after="40"/>
              <w:rPr>
                <w:sz w:val="18"/>
                <w:szCs w:val="18"/>
              </w:rPr>
            </w:pPr>
          </w:p>
          <w:p w14:paraId="155DD338" w14:textId="77777777" w:rsidR="005A05AB" w:rsidRDefault="005A05AB" w:rsidP="00E139EB">
            <w:pPr>
              <w:spacing w:before="40" w:after="40"/>
              <w:rPr>
                <w:sz w:val="18"/>
                <w:szCs w:val="18"/>
              </w:rPr>
            </w:pPr>
          </w:p>
          <w:p w14:paraId="0B248D4E" w14:textId="77777777" w:rsidR="005A05AB" w:rsidRDefault="005A05A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5A05AB" w:rsidRPr="00ED64CA" w14:paraId="49F2E126" w14:textId="77777777" w:rsidTr="00497913">
              <w:tc>
                <w:tcPr>
                  <w:tcW w:w="652" w:type="dxa"/>
                </w:tcPr>
                <w:p w14:paraId="64C4AD10" w14:textId="77777777" w:rsidR="005A05AB" w:rsidRPr="00ED64CA" w:rsidRDefault="008530DA" w:rsidP="005A05AB">
                  <w:pPr>
                    <w:spacing w:before="40" w:after="40"/>
                    <w:jc w:val="center"/>
                    <w:rPr>
                      <w:b/>
                      <w:bCs/>
                      <w:sz w:val="20"/>
                      <w:szCs w:val="20"/>
                    </w:rPr>
                  </w:pPr>
                  <w:sdt>
                    <w:sdtPr>
                      <w:rPr>
                        <w:b/>
                        <w:bCs/>
                        <w:sz w:val="20"/>
                        <w:szCs w:val="20"/>
                      </w:rPr>
                      <w:id w:val="681247033"/>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68302B3B" w14:textId="77777777" w:rsidR="005A05AB" w:rsidRPr="00ED64CA" w:rsidRDefault="008530DA" w:rsidP="005A05AB">
                  <w:pPr>
                    <w:spacing w:before="40" w:after="40"/>
                    <w:jc w:val="center"/>
                    <w:rPr>
                      <w:b/>
                      <w:bCs/>
                      <w:sz w:val="20"/>
                      <w:szCs w:val="20"/>
                    </w:rPr>
                  </w:pPr>
                  <w:sdt>
                    <w:sdtPr>
                      <w:rPr>
                        <w:b/>
                        <w:bCs/>
                        <w:sz w:val="20"/>
                        <w:szCs w:val="20"/>
                      </w:rPr>
                      <w:id w:val="70221415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1AF77045" w14:textId="77777777" w:rsidR="005A05AB" w:rsidRPr="00ED64CA" w:rsidRDefault="008530DA" w:rsidP="005A05AB">
                  <w:pPr>
                    <w:spacing w:before="40" w:after="40"/>
                    <w:jc w:val="center"/>
                    <w:rPr>
                      <w:b/>
                      <w:bCs/>
                      <w:sz w:val="20"/>
                      <w:szCs w:val="20"/>
                    </w:rPr>
                  </w:pPr>
                  <w:sdt>
                    <w:sdtPr>
                      <w:rPr>
                        <w:b/>
                        <w:bCs/>
                        <w:sz w:val="20"/>
                        <w:szCs w:val="20"/>
                      </w:rPr>
                      <w:id w:val="123519931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219AC7E2" w14:textId="77777777" w:rsidR="005A05AB" w:rsidRPr="00ED64CA" w:rsidRDefault="008530DA" w:rsidP="005A05AB">
                  <w:pPr>
                    <w:spacing w:before="40" w:after="40"/>
                    <w:jc w:val="center"/>
                    <w:rPr>
                      <w:b/>
                      <w:bCs/>
                      <w:sz w:val="20"/>
                      <w:szCs w:val="20"/>
                    </w:rPr>
                  </w:pPr>
                  <w:sdt>
                    <w:sdtPr>
                      <w:rPr>
                        <w:b/>
                        <w:bCs/>
                        <w:sz w:val="20"/>
                        <w:szCs w:val="20"/>
                      </w:rPr>
                      <w:id w:val="-84686855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r w:rsidR="005A05AB" w:rsidRPr="00ED64CA" w14:paraId="522DE089" w14:textId="77777777" w:rsidTr="00497913">
              <w:tc>
                <w:tcPr>
                  <w:tcW w:w="652" w:type="dxa"/>
                </w:tcPr>
                <w:p w14:paraId="0FFF91D3" w14:textId="2DE2B666" w:rsidR="005A05AB" w:rsidRPr="00ED64CA" w:rsidRDefault="005A05AB" w:rsidP="00711227">
                  <w:pPr>
                    <w:spacing w:before="40" w:after="40"/>
                    <w:rPr>
                      <w:b/>
                      <w:bCs/>
                      <w:sz w:val="20"/>
                      <w:szCs w:val="20"/>
                    </w:rPr>
                  </w:pPr>
                </w:p>
              </w:tc>
              <w:tc>
                <w:tcPr>
                  <w:tcW w:w="652" w:type="dxa"/>
                </w:tcPr>
                <w:p w14:paraId="5A89FF94" w14:textId="7E0615EE" w:rsidR="005A05AB" w:rsidRPr="00ED64CA" w:rsidRDefault="005A05AB" w:rsidP="005A05AB">
                  <w:pPr>
                    <w:spacing w:before="40" w:after="40"/>
                    <w:jc w:val="center"/>
                    <w:rPr>
                      <w:b/>
                      <w:bCs/>
                      <w:sz w:val="20"/>
                      <w:szCs w:val="20"/>
                    </w:rPr>
                  </w:pPr>
                </w:p>
              </w:tc>
              <w:tc>
                <w:tcPr>
                  <w:tcW w:w="652" w:type="dxa"/>
                </w:tcPr>
                <w:p w14:paraId="7B1EA5E2" w14:textId="11CD434C" w:rsidR="005A05AB" w:rsidRPr="00ED64CA" w:rsidRDefault="005A05AB" w:rsidP="005A05AB">
                  <w:pPr>
                    <w:spacing w:before="40" w:after="40"/>
                    <w:jc w:val="center"/>
                    <w:rPr>
                      <w:b/>
                      <w:bCs/>
                      <w:sz w:val="20"/>
                      <w:szCs w:val="20"/>
                    </w:rPr>
                  </w:pPr>
                </w:p>
              </w:tc>
              <w:tc>
                <w:tcPr>
                  <w:tcW w:w="653" w:type="dxa"/>
                </w:tcPr>
                <w:p w14:paraId="61CEB620" w14:textId="60A33B3C" w:rsidR="005A05AB" w:rsidRPr="00ED64CA" w:rsidRDefault="005A05AB" w:rsidP="005A05AB">
                  <w:pPr>
                    <w:spacing w:before="40" w:after="40"/>
                    <w:jc w:val="center"/>
                    <w:rPr>
                      <w:b/>
                      <w:bCs/>
                      <w:sz w:val="20"/>
                      <w:szCs w:val="20"/>
                    </w:rPr>
                  </w:pPr>
                </w:p>
              </w:tc>
            </w:tr>
            <w:tr w:rsidR="005A05AB" w:rsidRPr="00ED64CA" w14:paraId="6068E27D" w14:textId="77777777" w:rsidTr="00497913">
              <w:tc>
                <w:tcPr>
                  <w:tcW w:w="652" w:type="dxa"/>
                </w:tcPr>
                <w:p w14:paraId="5EB4F073" w14:textId="77777777" w:rsidR="005A05AB" w:rsidRPr="00ED64CA" w:rsidRDefault="008530DA" w:rsidP="005A05AB">
                  <w:pPr>
                    <w:spacing w:before="40" w:after="40"/>
                    <w:jc w:val="center"/>
                    <w:rPr>
                      <w:b/>
                      <w:bCs/>
                      <w:sz w:val="20"/>
                      <w:szCs w:val="20"/>
                    </w:rPr>
                  </w:pPr>
                  <w:sdt>
                    <w:sdtPr>
                      <w:rPr>
                        <w:b/>
                        <w:bCs/>
                        <w:sz w:val="20"/>
                        <w:szCs w:val="20"/>
                      </w:rPr>
                      <w:id w:val="-1969962771"/>
                      <w14:checkbox>
                        <w14:checked w14:val="0"/>
                        <w14:checkedState w14:val="2612" w14:font="MS Gothic"/>
                        <w14:uncheckedState w14:val="2610" w14:font="MS Gothic"/>
                      </w14:checkbox>
                    </w:sdtPr>
                    <w:sdtContent>
                      <w:r w:rsidR="005A05AB">
                        <w:rPr>
                          <w:rFonts w:ascii="MS Gothic" w:eastAsia="MS Gothic" w:hAnsi="MS Gothic" w:hint="eastAsia"/>
                          <w:b/>
                          <w:bCs/>
                          <w:sz w:val="20"/>
                          <w:szCs w:val="20"/>
                        </w:rPr>
                        <w:t>☐</w:t>
                      </w:r>
                    </w:sdtContent>
                  </w:sdt>
                  <w:r w:rsidR="005A05AB" w:rsidRPr="00ED64CA">
                    <w:rPr>
                      <w:b/>
                      <w:bCs/>
                      <w:sz w:val="20"/>
                      <w:szCs w:val="20"/>
                    </w:rPr>
                    <w:t>1</w:t>
                  </w:r>
                </w:p>
              </w:tc>
              <w:tc>
                <w:tcPr>
                  <w:tcW w:w="652" w:type="dxa"/>
                </w:tcPr>
                <w:p w14:paraId="5E7943AB" w14:textId="77777777" w:rsidR="005A05AB" w:rsidRPr="00ED64CA" w:rsidRDefault="008530DA" w:rsidP="005A05AB">
                  <w:pPr>
                    <w:spacing w:before="40" w:after="40"/>
                    <w:jc w:val="center"/>
                    <w:rPr>
                      <w:b/>
                      <w:bCs/>
                      <w:sz w:val="20"/>
                      <w:szCs w:val="20"/>
                    </w:rPr>
                  </w:pPr>
                  <w:sdt>
                    <w:sdtPr>
                      <w:rPr>
                        <w:b/>
                        <w:bCs/>
                        <w:sz w:val="20"/>
                        <w:szCs w:val="20"/>
                      </w:rPr>
                      <w:id w:val="-1321651875"/>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2</w:t>
                  </w:r>
                </w:p>
              </w:tc>
              <w:tc>
                <w:tcPr>
                  <w:tcW w:w="652" w:type="dxa"/>
                </w:tcPr>
                <w:p w14:paraId="6D25D36E" w14:textId="77777777" w:rsidR="005A05AB" w:rsidRPr="00ED64CA" w:rsidRDefault="008530DA" w:rsidP="005A05AB">
                  <w:pPr>
                    <w:spacing w:before="40" w:after="40"/>
                    <w:jc w:val="center"/>
                    <w:rPr>
                      <w:b/>
                      <w:bCs/>
                      <w:sz w:val="20"/>
                      <w:szCs w:val="20"/>
                    </w:rPr>
                  </w:pPr>
                  <w:sdt>
                    <w:sdtPr>
                      <w:rPr>
                        <w:b/>
                        <w:bCs/>
                        <w:sz w:val="20"/>
                        <w:szCs w:val="20"/>
                      </w:rPr>
                      <w:id w:val="427468246"/>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3</w:t>
                  </w:r>
                </w:p>
              </w:tc>
              <w:tc>
                <w:tcPr>
                  <w:tcW w:w="653" w:type="dxa"/>
                </w:tcPr>
                <w:p w14:paraId="5F2D1AC5" w14:textId="77777777" w:rsidR="005A05AB" w:rsidRPr="00ED64CA" w:rsidRDefault="008530DA" w:rsidP="005A05AB">
                  <w:pPr>
                    <w:spacing w:before="40" w:after="40"/>
                    <w:jc w:val="center"/>
                    <w:rPr>
                      <w:b/>
                      <w:bCs/>
                      <w:sz w:val="20"/>
                      <w:szCs w:val="20"/>
                    </w:rPr>
                  </w:pPr>
                  <w:sdt>
                    <w:sdtPr>
                      <w:rPr>
                        <w:b/>
                        <w:bCs/>
                        <w:sz w:val="20"/>
                        <w:szCs w:val="20"/>
                      </w:rPr>
                      <w:id w:val="1944414766"/>
                      <w14:checkbox>
                        <w14:checked w14:val="0"/>
                        <w14:checkedState w14:val="2612" w14:font="MS Gothic"/>
                        <w14:uncheckedState w14:val="2610" w14:font="MS Gothic"/>
                      </w14:checkbox>
                    </w:sdtPr>
                    <w:sdtContent>
                      <w:r w:rsidR="005A05AB" w:rsidRPr="00ED64CA">
                        <w:rPr>
                          <w:rFonts w:ascii="MS Gothic" w:eastAsia="MS Gothic" w:hAnsi="MS Gothic" w:hint="eastAsia"/>
                          <w:b/>
                          <w:bCs/>
                          <w:sz w:val="20"/>
                          <w:szCs w:val="20"/>
                        </w:rPr>
                        <w:t>☐</w:t>
                      </w:r>
                    </w:sdtContent>
                  </w:sdt>
                  <w:r w:rsidR="005A05AB" w:rsidRPr="00ED64CA">
                    <w:rPr>
                      <w:b/>
                      <w:bCs/>
                      <w:sz w:val="20"/>
                      <w:szCs w:val="20"/>
                    </w:rPr>
                    <w:t>4</w:t>
                  </w:r>
                </w:p>
              </w:tc>
            </w:tr>
          </w:tbl>
          <w:p w14:paraId="17429CE1" w14:textId="5A24B5DF" w:rsidR="005A05AB" w:rsidRPr="00E139EB" w:rsidRDefault="005A05AB" w:rsidP="00E139EB">
            <w:pPr>
              <w:spacing w:before="40" w:after="40"/>
              <w:rPr>
                <w:sz w:val="18"/>
                <w:szCs w:val="18"/>
              </w:rPr>
            </w:pPr>
          </w:p>
        </w:tc>
      </w:tr>
      <w:tr w:rsidR="00E139EB" w14:paraId="78573567"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5AFA826" w14:textId="51120619" w:rsidR="00E139EB" w:rsidRPr="005A05AB" w:rsidRDefault="005A05AB" w:rsidP="005A05AB">
            <w:pPr>
              <w:spacing w:before="40" w:after="40"/>
              <w:ind w:left="360" w:hanging="331"/>
              <w:rPr>
                <w:bCs/>
                <w:sz w:val="18"/>
                <w:szCs w:val="18"/>
              </w:rPr>
            </w:pPr>
            <w:r>
              <w:rPr>
                <w:b/>
                <w:bCs/>
                <w:sz w:val="18"/>
                <w:szCs w:val="18"/>
              </w:rPr>
              <w:t xml:space="preserve">4c. Cultural competencies: </w:t>
            </w:r>
            <w:r w:rsidRPr="00C0130A">
              <w:rPr>
                <w:bCs/>
                <w:sz w:val="18"/>
                <w:szCs w:val="18"/>
              </w:rPr>
              <w:t xml:space="preserve">Leaders at all levels </w:t>
            </w:r>
            <w:proofErr w:type="gramStart"/>
            <w:r w:rsidRPr="00C0130A">
              <w:rPr>
                <w:bCs/>
                <w:sz w:val="18"/>
                <w:szCs w:val="18"/>
              </w:rPr>
              <w:t xml:space="preserve">have </w:t>
            </w:r>
            <w:r>
              <w:rPr>
                <w:bCs/>
                <w:sz w:val="18"/>
                <w:szCs w:val="18"/>
              </w:rPr>
              <w:t>the ability to</w:t>
            </w:r>
            <w:proofErr w:type="gramEnd"/>
            <w:r>
              <w:rPr>
                <w:bCs/>
                <w:sz w:val="18"/>
                <w:szCs w:val="18"/>
              </w:rPr>
              <w:t xml:space="preserve"> understand, communicate with, and interact with every learner</w:t>
            </w:r>
            <w:r w:rsidRPr="00C0130A">
              <w:rPr>
                <w:bCs/>
                <w:sz w:val="18"/>
                <w:szCs w:val="18"/>
              </w:rPr>
              <w:t xml:space="preserve"> to effectively engage and welcome each into pathways.</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5EE7A9F8" w14:textId="77777777" w:rsidR="005A05AB" w:rsidRPr="005A05AB" w:rsidRDefault="005A05AB" w:rsidP="005A05AB">
            <w:pPr>
              <w:spacing w:before="40" w:after="40"/>
              <w:rPr>
                <w:b/>
                <w:bCs/>
                <w:sz w:val="20"/>
                <w:szCs w:val="20"/>
              </w:rPr>
            </w:pPr>
            <w:r w:rsidRPr="005A05AB">
              <w:rPr>
                <w:b/>
                <w:bCs/>
                <w:sz w:val="20"/>
                <w:szCs w:val="20"/>
              </w:rPr>
              <w:t>Target outcome 4c: Prioritization of cultural competencies</w:t>
            </w:r>
          </w:p>
          <w:p w14:paraId="787074C5" w14:textId="0FCF3656" w:rsidR="005A05AB" w:rsidRPr="003C11B9" w:rsidRDefault="005A05AB" w:rsidP="00A44D7D">
            <w:pPr>
              <w:pStyle w:val="ListParagraph"/>
              <w:numPr>
                <w:ilvl w:val="0"/>
                <w:numId w:val="19"/>
              </w:numPr>
              <w:spacing w:before="40" w:after="40"/>
              <w:ind w:left="405"/>
              <w:rPr>
                <w:sz w:val="18"/>
                <w:szCs w:val="18"/>
              </w:rPr>
            </w:pPr>
            <w:r w:rsidRPr="003C11B9">
              <w:rPr>
                <w:sz w:val="18"/>
                <w:szCs w:val="18"/>
              </w:rPr>
              <w:t xml:space="preserve">State, district, and </w:t>
            </w:r>
            <w:r w:rsidR="003C11B9" w:rsidRPr="003C11B9">
              <w:rPr>
                <w:sz w:val="18"/>
                <w:szCs w:val="18"/>
              </w:rPr>
              <w:t>postsecondary</w:t>
            </w:r>
            <w:r w:rsidRPr="003C11B9">
              <w:rPr>
                <w:sz w:val="18"/>
                <w:szCs w:val="18"/>
              </w:rPr>
              <w:t xml:space="preserve"> education leaders have identified equity and building cultural competencies as a high-level priority and actively work to create buy-in for this priority among their organizations, including for career pathways and related services.</w:t>
            </w:r>
          </w:p>
          <w:p w14:paraId="1ED2AA46" w14:textId="19CA3FAE" w:rsidR="00E139EB" w:rsidRPr="005A05AB" w:rsidRDefault="005A05AB" w:rsidP="00A44D7D">
            <w:pPr>
              <w:pStyle w:val="ListParagraph"/>
              <w:numPr>
                <w:ilvl w:val="0"/>
                <w:numId w:val="19"/>
              </w:numPr>
              <w:spacing w:before="40" w:after="40"/>
              <w:ind w:left="405"/>
              <w:rPr>
                <w:sz w:val="18"/>
                <w:szCs w:val="18"/>
              </w:rPr>
            </w:pPr>
            <w:r>
              <w:rPr>
                <w:sz w:val="18"/>
                <w:szCs w:val="18"/>
              </w:rPr>
              <w:t xml:space="preserve">The state, district, and </w:t>
            </w:r>
            <w:r w:rsidR="003C11B9">
              <w:rPr>
                <w:sz w:val="18"/>
                <w:szCs w:val="18"/>
              </w:rPr>
              <w:t>postsecondary</w:t>
            </w:r>
            <w:r>
              <w:rPr>
                <w:sz w:val="18"/>
                <w:szCs w:val="18"/>
              </w:rPr>
              <w:t xml:space="preserve"> education partners regularly provide evidence-based professional development and technical assistance to all pathways teachers and instructors focused on building cultural competencies (e.g., addressing implicit biases, microaggressions, etc.)</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6D732011" w14:textId="77777777" w:rsidR="00E139EB" w:rsidRDefault="00E139E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CA2BE3" w:rsidRPr="00ED64CA" w14:paraId="781216DC" w14:textId="77777777" w:rsidTr="00497913">
              <w:tc>
                <w:tcPr>
                  <w:tcW w:w="652" w:type="dxa"/>
                </w:tcPr>
                <w:p w14:paraId="4D70DB20" w14:textId="77777777" w:rsidR="00CA2BE3" w:rsidRPr="00ED64CA" w:rsidRDefault="008530DA" w:rsidP="00CA2BE3">
                  <w:pPr>
                    <w:spacing w:before="40" w:after="40"/>
                    <w:jc w:val="center"/>
                    <w:rPr>
                      <w:b/>
                      <w:bCs/>
                      <w:sz w:val="20"/>
                      <w:szCs w:val="20"/>
                    </w:rPr>
                  </w:pPr>
                  <w:sdt>
                    <w:sdtPr>
                      <w:rPr>
                        <w:b/>
                        <w:bCs/>
                        <w:sz w:val="20"/>
                        <w:szCs w:val="20"/>
                      </w:rPr>
                      <w:id w:val="-381478676"/>
                      <w14:checkbox>
                        <w14:checked w14:val="0"/>
                        <w14:checkedState w14:val="2612" w14:font="MS Gothic"/>
                        <w14:uncheckedState w14:val="2610" w14:font="MS Gothic"/>
                      </w14:checkbox>
                    </w:sdtPr>
                    <w:sdtContent>
                      <w:r w:rsidR="00CA2BE3">
                        <w:rPr>
                          <w:rFonts w:ascii="MS Gothic" w:eastAsia="MS Gothic" w:hAnsi="MS Gothic" w:hint="eastAsia"/>
                          <w:b/>
                          <w:bCs/>
                          <w:sz w:val="20"/>
                          <w:szCs w:val="20"/>
                        </w:rPr>
                        <w:t>☐</w:t>
                      </w:r>
                    </w:sdtContent>
                  </w:sdt>
                  <w:r w:rsidR="00CA2BE3" w:rsidRPr="00ED64CA">
                    <w:rPr>
                      <w:b/>
                      <w:bCs/>
                      <w:sz w:val="20"/>
                      <w:szCs w:val="20"/>
                    </w:rPr>
                    <w:t>1</w:t>
                  </w:r>
                </w:p>
              </w:tc>
              <w:tc>
                <w:tcPr>
                  <w:tcW w:w="652" w:type="dxa"/>
                </w:tcPr>
                <w:p w14:paraId="7D933F40" w14:textId="77777777" w:rsidR="00CA2BE3" w:rsidRPr="00ED64CA" w:rsidRDefault="008530DA" w:rsidP="00CA2BE3">
                  <w:pPr>
                    <w:spacing w:before="40" w:after="40"/>
                    <w:jc w:val="center"/>
                    <w:rPr>
                      <w:b/>
                      <w:bCs/>
                      <w:sz w:val="20"/>
                      <w:szCs w:val="20"/>
                    </w:rPr>
                  </w:pPr>
                  <w:sdt>
                    <w:sdtPr>
                      <w:rPr>
                        <w:b/>
                        <w:bCs/>
                        <w:sz w:val="20"/>
                        <w:szCs w:val="20"/>
                      </w:rPr>
                      <w:id w:val="1714849722"/>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2</w:t>
                  </w:r>
                </w:p>
              </w:tc>
              <w:tc>
                <w:tcPr>
                  <w:tcW w:w="652" w:type="dxa"/>
                </w:tcPr>
                <w:p w14:paraId="14EE7848" w14:textId="77777777" w:rsidR="00CA2BE3" w:rsidRPr="00ED64CA" w:rsidRDefault="008530DA" w:rsidP="00CA2BE3">
                  <w:pPr>
                    <w:spacing w:before="40" w:after="40"/>
                    <w:jc w:val="center"/>
                    <w:rPr>
                      <w:b/>
                      <w:bCs/>
                      <w:sz w:val="20"/>
                      <w:szCs w:val="20"/>
                    </w:rPr>
                  </w:pPr>
                  <w:sdt>
                    <w:sdtPr>
                      <w:rPr>
                        <w:b/>
                        <w:bCs/>
                        <w:sz w:val="20"/>
                        <w:szCs w:val="20"/>
                      </w:rPr>
                      <w:id w:val="1401029502"/>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3</w:t>
                  </w:r>
                </w:p>
              </w:tc>
              <w:tc>
                <w:tcPr>
                  <w:tcW w:w="653" w:type="dxa"/>
                </w:tcPr>
                <w:p w14:paraId="1B8929B7" w14:textId="77777777" w:rsidR="00CA2BE3" w:rsidRPr="00ED64CA" w:rsidRDefault="008530DA" w:rsidP="00CA2BE3">
                  <w:pPr>
                    <w:spacing w:before="40" w:after="40"/>
                    <w:jc w:val="center"/>
                    <w:rPr>
                      <w:b/>
                      <w:bCs/>
                      <w:sz w:val="20"/>
                      <w:szCs w:val="20"/>
                    </w:rPr>
                  </w:pPr>
                  <w:sdt>
                    <w:sdtPr>
                      <w:rPr>
                        <w:b/>
                        <w:bCs/>
                        <w:sz w:val="20"/>
                        <w:szCs w:val="20"/>
                      </w:rPr>
                      <w:id w:val="1224488666"/>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4</w:t>
                  </w:r>
                </w:p>
              </w:tc>
            </w:tr>
            <w:tr w:rsidR="00711227" w:rsidRPr="00ED64CA" w14:paraId="6A7688ED" w14:textId="77777777" w:rsidTr="00497913">
              <w:tc>
                <w:tcPr>
                  <w:tcW w:w="652" w:type="dxa"/>
                </w:tcPr>
                <w:p w14:paraId="30F0918F" w14:textId="77777777" w:rsidR="00711227" w:rsidRDefault="00711227" w:rsidP="00CA2BE3">
                  <w:pPr>
                    <w:spacing w:before="40" w:after="40"/>
                    <w:jc w:val="center"/>
                    <w:rPr>
                      <w:b/>
                      <w:bCs/>
                      <w:sz w:val="20"/>
                      <w:szCs w:val="20"/>
                    </w:rPr>
                  </w:pPr>
                </w:p>
              </w:tc>
              <w:tc>
                <w:tcPr>
                  <w:tcW w:w="652" w:type="dxa"/>
                </w:tcPr>
                <w:p w14:paraId="180CD938" w14:textId="77777777" w:rsidR="00711227" w:rsidRDefault="00711227" w:rsidP="00CA2BE3">
                  <w:pPr>
                    <w:spacing w:before="40" w:after="40"/>
                    <w:jc w:val="center"/>
                    <w:rPr>
                      <w:b/>
                      <w:bCs/>
                      <w:sz w:val="20"/>
                      <w:szCs w:val="20"/>
                    </w:rPr>
                  </w:pPr>
                </w:p>
              </w:tc>
              <w:tc>
                <w:tcPr>
                  <w:tcW w:w="652" w:type="dxa"/>
                </w:tcPr>
                <w:p w14:paraId="3FF5EAA6" w14:textId="77777777" w:rsidR="00711227" w:rsidRDefault="00711227" w:rsidP="00CA2BE3">
                  <w:pPr>
                    <w:spacing w:before="40" w:after="40"/>
                    <w:jc w:val="center"/>
                    <w:rPr>
                      <w:b/>
                      <w:bCs/>
                      <w:sz w:val="20"/>
                      <w:szCs w:val="20"/>
                    </w:rPr>
                  </w:pPr>
                </w:p>
              </w:tc>
              <w:tc>
                <w:tcPr>
                  <w:tcW w:w="653" w:type="dxa"/>
                </w:tcPr>
                <w:p w14:paraId="5837A9B6" w14:textId="77777777" w:rsidR="00711227" w:rsidRDefault="00711227" w:rsidP="00CA2BE3">
                  <w:pPr>
                    <w:spacing w:before="40" w:after="40"/>
                    <w:jc w:val="center"/>
                    <w:rPr>
                      <w:b/>
                      <w:bCs/>
                      <w:sz w:val="20"/>
                      <w:szCs w:val="20"/>
                    </w:rPr>
                  </w:pPr>
                </w:p>
              </w:tc>
            </w:tr>
            <w:tr w:rsidR="00CA2BE3" w:rsidRPr="00ED64CA" w14:paraId="0C45440B" w14:textId="77777777" w:rsidTr="00497913">
              <w:tc>
                <w:tcPr>
                  <w:tcW w:w="652" w:type="dxa"/>
                </w:tcPr>
                <w:p w14:paraId="31107570" w14:textId="77777777" w:rsidR="00CA2BE3" w:rsidRPr="00ED64CA" w:rsidRDefault="008530DA" w:rsidP="00CA2BE3">
                  <w:pPr>
                    <w:spacing w:before="40" w:after="40"/>
                    <w:jc w:val="center"/>
                    <w:rPr>
                      <w:b/>
                      <w:bCs/>
                      <w:sz w:val="20"/>
                      <w:szCs w:val="20"/>
                    </w:rPr>
                  </w:pPr>
                  <w:sdt>
                    <w:sdtPr>
                      <w:rPr>
                        <w:b/>
                        <w:bCs/>
                        <w:sz w:val="20"/>
                        <w:szCs w:val="20"/>
                      </w:rPr>
                      <w:id w:val="-537817141"/>
                      <w14:checkbox>
                        <w14:checked w14:val="0"/>
                        <w14:checkedState w14:val="2612" w14:font="MS Gothic"/>
                        <w14:uncheckedState w14:val="2610" w14:font="MS Gothic"/>
                      </w14:checkbox>
                    </w:sdtPr>
                    <w:sdtContent>
                      <w:r w:rsidR="00CA2BE3">
                        <w:rPr>
                          <w:rFonts w:ascii="MS Gothic" w:eastAsia="MS Gothic" w:hAnsi="MS Gothic" w:hint="eastAsia"/>
                          <w:b/>
                          <w:bCs/>
                          <w:sz w:val="20"/>
                          <w:szCs w:val="20"/>
                        </w:rPr>
                        <w:t>☐</w:t>
                      </w:r>
                    </w:sdtContent>
                  </w:sdt>
                  <w:r w:rsidR="00CA2BE3" w:rsidRPr="00ED64CA">
                    <w:rPr>
                      <w:b/>
                      <w:bCs/>
                      <w:sz w:val="20"/>
                      <w:szCs w:val="20"/>
                    </w:rPr>
                    <w:t>1</w:t>
                  </w:r>
                </w:p>
              </w:tc>
              <w:tc>
                <w:tcPr>
                  <w:tcW w:w="652" w:type="dxa"/>
                </w:tcPr>
                <w:p w14:paraId="5F7628FF" w14:textId="77777777" w:rsidR="00CA2BE3" w:rsidRPr="00ED64CA" w:rsidRDefault="008530DA" w:rsidP="00CA2BE3">
                  <w:pPr>
                    <w:spacing w:before="40" w:after="40"/>
                    <w:jc w:val="center"/>
                    <w:rPr>
                      <w:b/>
                      <w:bCs/>
                      <w:sz w:val="20"/>
                      <w:szCs w:val="20"/>
                    </w:rPr>
                  </w:pPr>
                  <w:sdt>
                    <w:sdtPr>
                      <w:rPr>
                        <w:b/>
                        <w:bCs/>
                        <w:sz w:val="20"/>
                        <w:szCs w:val="20"/>
                      </w:rPr>
                      <w:id w:val="-1393195237"/>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2</w:t>
                  </w:r>
                </w:p>
              </w:tc>
              <w:tc>
                <w:tcPr>
                  <w:tcW w:w="652" w:type="dxa"/>
                </w:tcPr>
                <w:p w14:paraId="530F9A46" w14:textId="77777777" w:rsidR="00CA2BE3" w:rsidRPr="00ED64CA" w:rsidRDefault="008530DA" w:rsidP="00CA2BE3">
                  <w:pPr>
                    <w:spacing w:before="40" w:after="40"/>
                    <w:jc w:val="center"/>
                    <w:rPr>
                      <w:b/>
                      <w:bCs/>
                      <w:sz w:val="20"/>
                      <w:szCs w:val="20"/>
                    </w:rPr>
                  </w:pPr>
                  <w:sdt>
                    <w:sdtPr>
                      <w:rPr>
                        <w:b/>
                        <w:bCs/>
                        <w:sz w:val="20"/>
                        <w:szCs w:val="20"/>
                      </w:rPr>
                      <w:id w:val="1633353625"/>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3</w:t>
                  </w:r>
                </w:p>
              </w:tc>
              <w:tc>
                <w:tcPr>
                  <w:tcW w:w="653" w:type="dxa"/>
                </w:tcPr>
                <w:p w14:paraId="189E4EE4" w14:textId="77777777" w:rsidR="00CA2BE3" w:rsidRPr="00ED64CA" w:rsidRDefault="008530DA" w:rsidP="00CA2BE3">
                  <w:pPr>
                    <w:spacing w:before="40" w:after="40"/>
                    <w:jc w:val="center"/>
                    <w:rPr>
                      <w:b/>
                      <w:bCs/>
                      <w:sz w:val="20"/>
                      <w:szCs w:val="20"/>
                    </w:rPr>
                  </w:pPr>
                  <w:sdt>
                    <w:sdtPr>
                      <w:rPr>
                        <w:b/>
                        <w:bCs/>
                        <w:sz w:val="20"/>
                        <w:szCs w:val="20"/>
                      </w:rPr>
                      <w:id w:val="-72739294"/>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4</w:t>
                  </w:r>
                </w:p>
              </w:tc>
            </w:tr>
          </w:tbl>
          <w:p w14:paraId="12DB0B8F" w14:textId="68977CB7" w:rsidR="00CA2BE3" w:rsidRPr="00E139EB" w:rsidRDefault="00CA2BE3" w:rsidP="00E139EB">
            <w:pPr>
              <w:spacing w:before="40" w:after="40"/>
              <w:rPr>
                <w:sz w:val="18"/>
                <w:szCs w:val="18"/>
              </w:rPr>
            </w:pPr>
          </w:p>
        </w:tc>
      </w:tr>
      <w:tr w:rsidR="00E139EB" w14:paraId="159929BE"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6148B488" w14:textId="282BC4C9" w:rsidR="00E139EB" w:rsidRPr="005A05AB" w:rsidRDefault="005A05AB" w:rsidP="005A05AB">
            <w:pPr>
              <w:spacing w:before="40" w:after="40"/>
              <w:ind w:left="360" w:hanging="331"/>
              <w:rPr>
                <w:bCs/>
                <w:sz w:val="18"/>
                <w:szCs w:val="18"/>
              </w:rPr>
            </w:pPr>
            <w:r>
              <w:rPr>
                <w:b/>
                <w:bCs/>
                <w:sz w:val="18"/>
                <w:szCs w:val="18"/>
              </w:rPr>
              <w:lastRenderedPageBreak/>
              <w:t xml:space="preserve">4d. Informed and targeted state and local policies: </w:t>
            </w:r>
            <w:r w:rsidRPr="0065444E">
              <w:rPr>
                <w:bCs/>
                <w:sz w:val="18"/>
                <w:szCs w:val="18"/>
              </w:rPr>
              <w:t xml:space="preserve">Intentional policies and strategies identify and address barriers to equitable participation and success in pathways. </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4CBE24A5" w14:textId="77777777" w:rsidR="005A05AB" w:rsidRPr="005A05AB" w:rsidRDefault="005A05AB" w:rsidP="005A05AB">
            <w:pPr>
              <w:spacing w:before="40" w:after="40"/>
              <w:rPr>
                <w:b/>
                <w:bCs/>
                <w:sz w:val="20"/>
                <w:szCs w:val="20"/>
              </w:rPr>
            </w:pPr>
            <w:r w:rsidRPr="005A05AB">
              <w:rPr>
                <w:b/>
                <w:bCs/>
                <w:sz w:val="20"/>
                <w:szCs w:val="20"/>
              </w:rPr>
              <w:t>Target outcome 4d: Informed and targeted state and local policies</w:t>
            </w:r>
          </w:p>
          <w:p w14:paraId="3590B425" w14:textId="3963C2C8" w:rsidR="005A05AB" w:rsidRPr="003C11B9" w:rsidRDefault="005A05AB" w:rsidP="00A44D7D">
            <w:pPr>
              <w:pStyle w:val="ListParagraph"/>
              <w:numPr>
                <w:ilvl w:val="0"/>
                <w:numId w:val="20"/>
              </w:numPr>
              <w:spacing w:before="40" w:after="40"/>
              <w:ind w:left="405"/>
              <w:rPr>
                <w:sz w:val="18"/>
                <w:szCs w:val="18"/>
              </w:rPr>
            </w:pPr>
            <w:r w:rsidRPr="003C11B9">
              <w:rPr>
                <w:sz w:val="18"/>
                <w:szCs w:val="18"/>
              </w:rPr>
              <w:t xml:space="preserve">State, district, and </w:t>
            </w:r>
            <w:r w:rsidR="005F1814">
              <w:rPr>
                <w:sz w:val="18"/>
                <w:szCs w:val="18"/>
              </w:rPr>
              <w:t>postsecondary</w:t>
            </w:r>
            <w:r w:rsidRPr="003C11B9">
              <w:rPr>
                <w:sz w:val="18"/>
                <w:szCs w:val="18"/>
              </w:rPr>
              <w:t xml:space="preserve"> education leaders have identified key barriers to participation and completion of high-quality pathways, particularly among underrepresented populations (e.g., admissions requirements, lack of transportation, scheduling, insufficient recruitment strategies, etc.), with input from the broader community, including students, families, and community-based organizations.</w:t>
            </w:r>
            <w:r w:rsidRPr="003C11B9">
              <w:rPr>
                <w:sz w:val="18"/>
                <w:szCs w:val="18"/>
              </w:rPr>
              <w:br/>
            </w:r>
          </w:p>
          <w:p w14:paraId="0B5BBFFE" w14:textId="648D06EF" w:rsidR="005A05AB" w:rsidRDefault="005A05AB" w:rsidP="00A44D7D">
            <w:pPr>
              <w:pStyle w:val="ListParagraph"/>
              <w:numPr>
                <w:ilvl w:val="0"/>
                <w:numId w:val="20"/>
              </w:numPr>
              <w:spacing w:before="40" w:after="40"/>
              <w:ind w:left="405"/>
              <w:rPr>
                <w:sz w:val="18"/>
                <w:szCs w:val="18"/>
              </w:rPr>
            </w:pPr>
            <w:r>
              <w:rPr>
                <w:sz w:val="18"/>
                <w:szCs w:val="18"/>
              </w:rPr>
              <w:t xml:space="preserve">State, district, and </w:t>
            </w:r>
            <w:r w:rsidR="005F1814">
              <w:rPr>
                <w:sz w:val="18"/>
                <w:szCs w:val="18"/>
              </w:rPr>
              <w:t>postsecondary</w:t>
            </w:r>
            <w:r>
              <w:rPr>
                <w:sz w:val="18"/>
                <w:szCs w:val="18"/>
              </w:rPr>
              <w:t xml:space="preserve"> education leaders have adopted and implemented policies and strategies to target the primary barriers to underrepresented students’ access to and participation and success in high-quality pathways.</w:t>
            </w:r>
            <w:r>
              <w:rPr>
                <w:sz w:val="18"/>
                <w:szCs w:val="18"/>
              </w:rPr>
              <w:br/>
            </w:r>
          </w:p>
          <w:p w14:paraId="3D42B01B" w14:textId="488D8A66" w:rsidR="00E139EB" w:rsidRPr="005A05AB" w:rsidRDefault="005A05AB" w:rsidP="00A44D7D">
            <w:pPr>
              <w:pStyle w:val="ListParagraph"/>
              <w:numPr>
                <w:ilvl w:val="0"/>
                <w:numId w:val="20"/>
              </w:numPr>
              <w:spacing w:before="40" w:after="40"/>
              <w:ind w:left="405"/>
              <w:rPr>
                <w:b/>
                <w:bCs/>
                <w:sz w:val="18"/>
                <w:szCs w:val="18"/>
                <w:u w:val="single"/>
              </w:rPr>
            </w:pPr>
            <w:r w:rsidRPr="00E139EB">
              <w:rPr>
                <w:rFonts w:eastAsia="Calibri" w:cs="Calibri"/>
                <w:sz w:val="18"/>
                <w:szCs w:val="18"/>
              </w:rPr>
              <w:t>The district and postsecondary partners engage students, families, counselors, teachers, and instructors/professors</w:t>
            </w:r>
            <w:r w:rsidR="005F1814">
              <w:rPr>
                <w:rFonts w:eastAsia="Calibri" w:cs="Calibri"/>
                <w:sz w:val="18"/>
                <w:szCs w:val="18"/>
              </w:rPr>
              <w:t xml:space="preserve"> at least every other year</w:t>
            </w:r>
            <w:r w:rsidRPr="00E139EB">
              <w:rPr>
                <w:rFonts w:eastAsia="Calibri" w:cs="Calibri"/>
                <w:sz w:val="18"/>
                <w:szCs w:val="18"/>
              </w:rPr>
              <w:t xml:space="preserve"> to understand how students and families are learning about pathways, the conditions that support or hinder enrollment and completion of pathways, and barriers students face to successfully transitioning to and completing a postsecondary credential of value.</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11BD1129" w14:textId="77777777" w:rsidR="00E139EB" w:rsidRDefault="00E139E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CA2BE3" w:rsidRPr="00ED64CA" w14:paraId="14F1E6C7" w14:textId="77777777" w:rsidTr="00497913">
              <w:tc>
                <w:tcPr>
                  <w:tcW w:w="652" w:type="dxa"/>
                </w:tcPr>
                <w:p w14:paraId="235BEB25" w14:textId="77777777" w:rsidR="00CA2BE3" w:rsidRPr="00ED64CA" w:rsidRDefault="008530DA" w:rsidP="00CA2BE3">
                  <w:pPr>
                    <w:spacing w:before="40" w:after="40"/>
                    <w:jc w:val="center"/>
                    <w:rPr>
                      <w:b/>
                      <w:bCs/>
                      <w:sz w:val="20"/>
                      <w:szCs w:val="20"/>
                    </w:rPr>
                  </w:pPr>
                  <w:sdt>
                    <w:sdtPr>
                      <w:rPr>
                        <w:b/>
                        <w:bCs/>
                        <w:sz w:val="20"/>
                        <w:szCs w:val="20"/>
                      </w:rPr>
                      <w:id w:val="982506271"/>
                      <w14:checkbox>
                        <w14:checked w14:val="0"/>
                        <w14:checkedState w14:val="2612" w14:font="MS Gothic"/>
                        <w14:uncheckedState w14:val="2610" w14:font="MS Gothic"/>
                      </w14:checkbox>
                    </w:sdtPr>
                    <w:sdtContent>
                      <w:r w:rsidR="00CA2BE3">
                        <w:rPr>
                          <w:rFonts w:ascii="MS Gothic" w:eastAsia="MS Gothic" w:hAnsi="MS Gothic" w:hint="eastAsia"/>
                          <w:b/>
                          <w:bCs/>
                          <w:sz w:val="20"/>
                          <w:szCs w:val="20"/>
                        </w:rPr>
                        <w:t>☐</w:t>
                      </w:r>
                    </w:sdtContent>
                  </w:sdt>
                  <w:r w:rsidR="00CA2BE3" w:rsidRPr="00ED64CA">
                    <w:rPr>
                      <w:b/>
                      <w:bCs/>
                      <w:sz w:val="20"/>
                      <w:szCs w:val="20"/>
                    </w:rPr>
                    <w:t>1</w:t>
                  </w:r>
                </w:p>
              </w:tc>
              <w:tc>
                <w:tcPr>
                  <w:tcW w:w="652" w:type="dxa"/>
                </w:tcPr>
                <w:p w14:paraId="1858A2F1" w14:textId="77777777" w:rsidR="00CA2BE3" w:rsidRPr="00ED64CA" w:rsidRDefault="008530DA" w:rsidP="00CA2BE3">
                  <w:pPr>
                    <w:spacing w:before="40" w:after="40"/>
                    <w:jc w:val="center"/>
                    <w:rPr>
                      <w:b/>
                      <w:bCs/>
                      <w:sz w:val="20"/>
                      <w:szCs w:val="20"/>
                    </w:rPr>
                  </w:pPr>
                  <w:sdt>
                    <w:sdtPr>
                      <w:rPr>
                        <w:b/>
                        <w:bCs/>
                        <w:sz w:val="20"/>
                        <w:szCs w:val="20"/>
                      </w:rPr>
                      <w:id w:val="-1787115201"/>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2</w:t>
                  </w:r>
                </w:p>
              </w:tc>
              <w:tc>
                <w:tcPr>
                  <w:tcW w:w="652" w:type="dxa"/>
                </w:tcPr>
                <w:p w14:paraId="1B6FA961" w14:textId="77777777" w:rsidR="00CA2BE3" w:rsidRPr="00ED64CA" w:rsidRDefault="008530DA" w:rsidP="00CA2BE3">
                  <w:pPr>
                    <w:spacing w:before="40" w:after="40"/>
                    <w:jc w:val="center"/>
                    <w:rPr>
                      <w:b/>
                      <w:bCs/>
                      <w:sz w:val="20"/>
                      <w:szCs w:val="20"/>
                    </w:rPr>
                  </w:pPr>
                  <w:sdt>
                    <w:sdtPr>
                      <w:rPr>
                        <w:b/>
                        <w:bCs/>
                        <w:sz w:val="20"/>
                        <w:szCs w:val="20"/>
                      </w:rPr>
                      <w:id w:val="-583447031"/>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3</w:t>
                  </w:r>
                </w:p>
              </w:tc>
              <w:tc>
                <w:tcPr>
                  <w:tcW w:w="653" w:type="dxa"/>
                </w:tcPr>
                <w:p w14:paraId="25C1C010" w14:textId="77777777" w:rsidR="00CA2BE3" w:rsidRPr="00ED64CA" w:rsidRDefault="008530DA" w:rsidP="00CA2BE3">
                  <w:pPr>
                    <w:spacing w:before="40" w:after="40"/>
                    <w:jc w:val="center"/>
                    <w:rPr>
                      <w:b/>
                      <w:bCs/>
                      <w:sz w:val="20"/>
                      <w:szCs w:val="20"/>
                    </w:rPr>
                  </w:pPr>
                  <w:sdt>
                    <w:sdtPr>
                      <w:rPr>
                        <w:b/>
                        <w:bCs/>
                        <w:sz w:val="20"/>
                        <w:szCs w:val="20"/>
                      </w:rPr>
                      <w:id w:val="171777083"/>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4</w:t>
                  </w:r>
                </w:p>
              </w:tc>
            </w:tr>
          </w:tbl>
          <w:p w14:paraId="6EDC3E4B" w14:textId="77777777" w:rsidR="00CA2BE3" w:rsidRDefault="00CA2BE3" w:rsidP="00E139EB">
            <w:pPr>
              <w:spacing w:before="40" w:after="40"/>
              <w:rPr>
                <w:sz w:val="18"/>
                <w:szCs w:val="18"/>
              </w:rPr>
            </w:pPr>
          </w:p>
          <w:p w14:paraId="6F8AE887" w14:textId="77777777" w:rsidR="00CA2BE3" w:rsidRDefault="00CA2BE3" w:rsidP="00E139EB">
            <w:pPr>
              <w:spacing w:before="40" w:after="40"/>
              <w:rPr>
                <w:sz w:val="18"/>
                <w:szCs w:val="18"/>
              </w:rPr>
            </w:pPr>
          </w:p>
          <w:p w14:paraId="1E067C6D" w14:textId="77777777" w:rsidR="00CA2BE3" w:rsidRDefault="00CA2BE3"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CA2BE3" w:rsidRPr="00ED64CA" w14:paraId="07441EDD" w14:textId="77777777" w:rsidTr="00497913">
              <w:tc>
                <w:tcPr>
                  <w:tcW w:w="652" w:type="dxa"/>
                </w:tcPr>
                <w:p w14:paraId="5A4AF8A7" w14:textId="77777777" w:rsidR="00CA2BE3" w:rsidRPr="00ED64CA" w:rsidRDefault="008530DA" w:rsidP="00CA2BE3">
                  <w:pPr>
                    <w:spacing w:before="40" w:after="40"/>
                    <w:jc w:val="center"/>
                    <w:rPr>
                      <w:b/>
                      <w:bCs/>
                      <w:sz w:val="20"/>
                      <w:szCs w:val="20"/>
                    </w:rPr>
                  </w:pPr>
                  <w:sdt>
                    <w:sdtPr>
                      <w:rPr>
                        <w:b/>
                        <w:bCs/>
                        <w:sz w:val="20"/>
                        <w:szCs w:val="20"/>
                      </w:rPr>
                      <w:id w:val="-205565914"/>
                      <w14:checkbox>
                        <w14:checked w14:val="0"/>
                        <w14:checkedState w14:val="2612" w14:font="MS Gothic"/>
                        <w14:uncheckedState w14:val="2610" w14:font="MS Gothic"/>
                      </w14:checkbox>
                    </w:sdtPr>
                    <w:sdtContent>
                      <w:r w:rsidR="00CA2BE3">
                        <w:rPr>
                          <w:rFonts w:ascii="MS Gothic" w:eastAsia="MS Gothic" w:hAnsi="MS Gothic" w:hint="eastAsia"/>
                          <w:b/>
                          <w:bCs/>
                          <w:sz w:val="20"/>
                          <w:szCs w:val="20"/>
                        </w:rPr>
                        <w:t>☐</w:t>
                      </w:r>
                    </w:sdtContent>
                  </w:sdt>
                  <w:r w:rsidR="00CA2BE3" w:rsidRPr="00ED64CA">
                    <w:rPr>
                      <w:b/>
                      <w:bCs/>
                      <w:sz w:val="20"/>
                      <w:szCs w:val="20"/>
                    </w:rPr>
                    <w:t>1</w:t>
                  </w:r>
                </w:p>
              </w:tc>
              <w:tc>
                <w:tcPr>
                  <w:tcW w:w="652" w:type="dxa"/>
                </w:tcPr>
                <w:p w14:paraId="0931FBBC" w14:textId="77777777" w:rsidR="00CA2BE3" w:rsidRPr="00ED64CA" w:rsidRDefault="008530DA" w:rsidP="00CA2BE3">
                  <w:pPr>
                    <w:spacing w:before="40" w:after="40"/>
                    <w:jc w:val="center"/>
                    <w:rPr>
                      <w:b/>
                      <w:bCs/>
                      <w:sz w:val="20"/>
                      <w:szCs w:val="20"/>
                    </w:rPr>
                  </w:pPr>
                  <w:sdt>
                    <w:sdtPr>
                      <w:rPr>
                        <w:b/>
                        <w:bCs/>
                        <w:sz w:val="20"/>
                        <w:szCs w:val="20"/>
                      </w:rPr>
                      <w:id w:val="202840267"/>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2</w:t>
                  </w:r>
                </w:p>
              </w:tc>
              <w:tc>
                <w:tcPr>
                  <w:tcW w:w="652" w:type="dxa"/>
                </w:tcPr>
                <w:p w14:paraId="5D92FF56" w14:textId="77777777" w:rsidR="00CA2BE3" w:rsidRPr="00ED64CA" w:rsidRDefault="008530DA" w:rsidP="00CA2BE3">
                  <w:pPr>
                    <w:spacing w:before="40" w:after="40"/>
                    <w:jc w:val="center"/>
                    <w:rPr>
                      <w:b/>
                      <w:bCs/>
                      <w:sz w:val="20"/>
                      <w:szCs w:val="20"/>
                    </w:rPr>
                  </w:pPr>
                  <w:sdt>
                    <w:sdtPr>
                      <w:rPr>
                        <w:b/>
                        <w:bCs/>
                        <w:sz w:val="20"/>
                        <w:szCs w:val="20"/>
                      </w:rPr>
                      <w:id w:val="1888992629"/>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3</w:t>
                  </w:r>
                </w:p>
              </w:tc>
              <w:tc>
                <w:tcPr>
                  <w:tcW w:w="653" w:type="dxa"/>
                </w:tcPr>
                <w:p w14:paraId="6B5A6E3E" w14:textId="77777777" w:rsidR="00CA2BE3" w:rsidRPr="00ED64CA" w:rsidRDefault="008530DA" w:rsidP="00CA2BE3">
                  <w:pPr>
                    <w:spacing w:before="40" w:after="40"/>
                    <w:jc w:val="center"/>
                    <w:rPr>
                      <w:b/>
                      <w:bCs/>
                      <w:sz w:val="20"/>
                      <w:szCs w:val="20"/>
                    </w:rPr>
                  </w:pPr>
                  <w:sdt>
                    <w:sdtPr>
                      <w:rPr>
                        <w:b/>
                        <w:bCs/>
                        <w:sz w:val="20"/>
                        <w:szCs w:val="20"/>
                      </w:rPr>
                      <w:id w:val="-1894573688"/>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4</w:t>
                  </w:r>
                </w:p>
              </w:tc>
            </w:tr>
          </w:tbl>
          <w:p w14:paraId="26AA9A35" w14:textId="77777777" w:rsidR="00CA2BE3" w:rsidRDefault="00CA2BE3" w:rsidP="00E139EB">
            <w:pPr>
              <w:spacing w:before="40" w:after="40"/>
              <w:rPr>
                <w:sz w:val="18"/>
                <w:szCs w:val="18"/>
              </w:rPr>
            </w:pPr>
          </w:p>
          <w:p w14:paraId="38A809F8" w14:textId="77777777" w:rsidR="00CA2BE3" w:rsidRDefault="00CA2BE3"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CA2BE3" w:rsidRPr="00ED64CA" w14:paraId="12153A7D" w14:textId="77777777" w:rsidTr="00497913">
              <w:tc>
                <w:tcPr>
                  <w:tcW w:w="652" w:type="dxa"/>
                </w:tcPr>
                <w:p w14:paraId="7F06C8F5" w14:textId="77777777" w:rsidR="00CA2BE3" w:rsidRPr="00ED64CA" w:rsidRDefault="008530DA" w:rsidP="00CA2BE3">
                  <w:pPr>
                    <w:spacing w:before="40" w:after="40"/>
                    <w:jc w:val="center"/>
                    <w:rPr>
                      <w:b/>
                      <w:bCs/>
                      <w:sz w:val="20"/>
                      <w:szCs w:val="20"/>
                    </w:rPr>
                  </w:pPr>
                  <w:sdt>
                    <w:sdtPr>
                      <w:rPr>
                        <w:b/>
                        <w:bCs/>
                        <w:sz w:val="20"/>
                        <w:szCs w:val="20"/>
                      </w:rPr>
                      <w:id w:val="1126583538"/>
                      <w14:checkbox>
                        <w14:checked w14:val="0"/>
                        <w14:checkedState w14:val="2612" w14:font="MS Gothic"/>
                        <w14:uncheckedState w14:val="2610" w14:font="MS Gothic"/>
                      </w14:checkbox>
                    </w:sdtPr>
                    <w:sdtContent>
                      <w:r w:rsidR="00CA2BE3">
                        <w:rPr>
                          <w:rFonts w:ascii="MS Gothic" w:eastAsia="MS Gothic" w:hAnsi="MS Gothic" w:hint="eastAsia"/>
                          <w:b/>
                          <w:bCs/>
                          <w:sz w:val="20"/>
                          <w:szCs w:val="20"/>
                        </w:rPr>
                        <w:t>☐</w:t>
                      </w:r>
                    </w:sdtContent>
                  </w:sdt>
                  <w:r w:rsidR="00CA2BE3" w:rsidRPr="00ED64CA">
                    <w:rPr>
                      <w:b/>
                      <w:bCs/>
                      <w:sz w:val="20"/>
                      <w:szCs w:val="20"/>
                    </w:rPr>
                    <w:t>1</w:t>
                  </w:r>
                </w:p>
              </w:tc>
              <w:tc>
                <w:tcPr>
                  <w:tcW w:w="652" w:type="dxa"/>
                </w:tcPr>
                <w:p w14:paraId="42584DD3" w14:textId="77777777" w:rsidR="00CA2BE3" w:rsidRPr="00ED64CA" w:rsidRDefault="008530DA" w:rsidP="00CA2BE3">
                  <w:pPr>
                    <w:spacing w:before="40" w:after="40"/>
                    <w:jc w:val="center"/>
                    <w:rPr>
                      <w:b/>
                      <w:bCs/>
                      <w:sz w:val="20"/>
                      <w:szCs w:val="20"/>
                    </w:rPr>
                  </w:pPr>
                  <w:sdt>
                    <w:sdtPr>
                      <w:rPr>
                        <w:b/>
                        <w:bCs/>
                        <w:sz w:val="20"/>
                        <w:szCs w:val="20"/>
                      </w:rPr>
                      <w:id w:val="970246287"/>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2</w:t>
                  </w:r>
                </w:p>
              </w:tc>
              <w:tc>
                <w:tcPr>
                  <w:tcW w:w="652" w:type="dxa"/>
                </w:tcPr>
                <w:p w14:paraId="50AE6401" w14:textId="77777777" w:rsidR="00CA2BE3" w:rsidRPr="00ED64CA" w:rsidRDefault="008530DA" w:rsidP="00CA2BE3">
                  <w:pPr>
                    <w:spacing w:before="40" w:after="40"/>
                    <w:jc w:val="center"/>
                    <w:rPr>
                      <w:b/>
                      <w:bCs/>
                      <w:sz w:val="20"/>
                      <w:szCs w:val="20"/>
                    </w:rPr>
                  </w:pPr>
                  <w:sdt>
                    <w:sdtPr>
                      <w:rPr>
                        <w:b/>
                        <w:bCs/>
                        <w:sz w:val="20"/>
                        <w:szCs w:val="20"/>
                      </w:rPr>
                      <w:id w:val="-1924405911"/>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3</w:t>
                  </w:r>
                </w:p>
              </w:tc>
              <w:tc>
                <w:tcPr>
                  <w:tcW w:w="653" w:type="dxa"/>
                </w:tcPr>
                <w:p w14:paraId="4D3F57B9" w14:textId="77777777" w:rsidR="00CA2BE3" w:rsidRPr="00ED64CA" w:rsidRDefault="008530DA" w:rsidP="00CA2BE3">
                  <w:pPr>
                    <w:spacing w:before="40" w:after="40"/>
                    <w:jc w:val="center"/>
                    <w:rPr>
                      <w:b/>
                      <w:bCs/>
                      <w:sz w:val="20"/>
                      <w:szCs w:val="20"/>
                    </w:rPr>
                  </w:pPr>
                  <w:sdt>
                    <w:sdtPr>
                      <w:rPr>
                        <w:b/>
                        <w:bCs/>
                        <w:sz w:val="20"/>
                        <w:szCs w:val="20"/>
                      </w:rPr>
                      <w:id w:val="1289324399"/>
                      <w14:checkbox>
                        <w14:checked w14:val="0"/>
                        <w14:checkedState w14:val="2612" w14:font="MS Gothic"/>
                        <w14:uncheckedState w14:val="2610" w14:font="MS Gothic"/>
                      </w14:checkbox>
                    </w:sdtPr>
                    <w:sdtContent>
                      <w:r w:rsidR="00CA2BE3" w:rsidRPr="00ED64CA">
                        <w:rPr>
                          <w:rFonts w:ascii="MS Gothic" w:eastAsia="MS Gothic" w:hAnsi="MS Gothic" w:hint="eastAsia"/>
                          <w:b/>
                          <w:bCs/>
                          <w:sz w:val="20"/>
                          <w:szCs w:val="20"/>
                        </w:rPr>
                        <w:t>☐</w:t>
                      </w:r>
                    </w:sdtContent>
                  </w:sdt>
                  <w:r w:rsidR="00CA2BE3" w:rsidRPr="00ED64CA">
                    <w:rPr>
                      <w:b/>
                      <w:bCs/>
                      <w:sz w:val="20"/>
                      <w:szCs w:val="20"/>
                    </w:rPr>
                    <w:t>4</w:t>
                  </w:r>
                </w:p>
              </w:tc>
            </w:tr>
          </w:tbl>
          <w:p w14:paraId="426AC876" w14:textId="79EA9D78" w:rsidR="00CA2BE3" w:rsidRPr="00E139EB" w:rsidRDefault="00CA2BE3" w:rsidP="00E139EB">
            <w:pPr>
              <w:spacing w:before="40" w:after="40"/>
              <w:rPr>
                <w:sz w:val="18"/>
                <w:szCs w:val="18"/>
              </w:rPr>
            </w:pPr>
          </w:p>
        </w:tc>
      </w:tr>
      <w:tr w:rsidR="00E139EB" w14:paraId="0FF0E062" w14:textId="77777777" w:rsidTr="00497913">
        <w:tc>
          <w:tcPr>
            <w:tcW w:w="3078"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2DFF9CD8" w14:textId="75683EA8" w:rsidR="00E139EB" w:rsidRPr="00913268" w:rsidRDefault="00E139EB" w:rsidP="00E139EB">
            <w:pPr>
              <w:spacing w:before="40" w:after="40"/>
              <w:ind w:left="360" w:hanging="331"/>
              <w:rPr>
                <w:sz w:val="18"/>
                <w:szCs w:val="18"/>
              </w:rPr>
            </w:pPr>
            <w:r>
              <w:rPr>
                <w:b/>
                <w:bCs/>
                <w:sz w:val="18"/>
                <w:szCs w:val="18"/>
              </w:rPr>
              <w:t xml:space="preserve">4e. </w:t>
            </w:r>
            <w:r w:rsidRPr="005F1814">
              <w:rPr>
                <w:b/>
                <w:bCs/>
                <w:sz w:val="18"/>
                <w:szCs w:val="18"/>
              </w:rPr>
              <w:t>Distribution of Human Capital:</w:t>
            </w:r>
            <w:r w:rsidR="00913268" w:rsidRPr="005F1814">
              <w:rPr>
                <w:b/>
                <w:bCs/>
                <w:sz w:val="18"/>
                <w:szCs w:val="18"/>
              </w:rPr>
              <w:t xml:space="preserve"> </w:t>
            </w:r>
            <w:r w:rsidR="00913268" w:rsidRPr="005F1814">
              <w:rPr>
                <w:sz w:val="18"/>
                <w:szCs w:val="18"/>
              </w:rPr>
              <w:t>State and local policies and practices</w:t>
            </w:r>
            <w:r w:rsidRPr="005F1814">
              <w:rPr>
                <w:b/>
                <w:bCs/>
                <w:sz w:val="18"/>
                <w:szCs w:val="18"/>
              </w:rPr>
              <w:t xml:space="preserve"> </w:t>
            </w:r>
            <w:r w:rsidR="00913268" w:rsidRPr="005F1814">
              <w:rPr>
                <w:sz w:val="18"/>
                <w:szCs w:val="18"/>
              </w:rPr>
              <w:t>intentionally consider the availability and distribution of high-quality teachers and instructors of pathways courses.</w:t>
            </w:r>
          </w:p>
          <w:p w14:paraId="1B2E33FB" w14:textId="77777777" w:rsidR="00E139EB" w:rsidRDefault="00E139EB" w:rsidP="00E139EB">
            <w:pPr>
              <w:spacing w:before="40" w:after="40"/>
              <w:ind w:left="360" w:hanging="331"/>
              <w:rPr>
                <w:b/>
                <w:bCs/>
                <w:sz w:val="18"/>
                <w:szCs w:val="18"/>
              </w:rPr>
            </w:pPr>
          </w:p>
          <w:p w14:paraId="56608E22" w14:textId="164C51CB" w:rsidR="00E139EB" w:rsidRPr="0065444E" w:rsidRDefault="00E139EB" w:rsidP="00E139EB">
            <w:pPr>
              <w:spacing w:before="40" w:after="40"/>
              <w:ind w:left="360" w:hanging="331"/>
              <w:rPr>
                <w:sz w:val="18"/>
                <w:szCs w:val="18"/>
              </w:rPr>
            </w:pPr>
            <w:r>
              <w:rPr>
                <w:bCs/>
                <w:sz w:val="18"/>
                <w:szCs w:val="18"/>
              </w:rPr>
              <w:t xml:space="preserve">  </w:t>
            </w:r>
          </w:p>
        </w:tc>
        <w:tc>
          <w:tcPr>
            <w:tcW w:w="8707" w:type="dxa"/>
            <w:gridSpan w:val="7"/>
            <w:tcBorders>
              <w:top w:val="single" w:sz="8" w:space="0" w:color="auto"/>
              <w:left w:val="single" w:sz="8" w:space="0" w:color="auto"/>
              <w:bottom w:val="single" w:sz="8" w:space="0" w:color="auto"/>
              <w:right w:val="single" w:sz="8" w:space="0" w:color="auto"/>
            </w:tcBorders>
            <w:shd w:val="clear" w:color="auto" w:fill="EEECE1" w:themeFill="background2"/>
          </w:tcPr>
          <w:p w14:paraId="77DFA662" w14:textId="77777777" w:rsidR="00E139EB" w:rsidRPr="005A05AB" w:rsidRDefault="00E139EB" w:rsidP="00E139EB">
            <w:pPr>
              <w:spacing w:before="40" w:after="40"/>
              <w:rPr>
                <w:sz w:val="20"/>
                <w:szCs w:val="20"/>
              </w:rPr>
            </w:pPr>
            <w:r w:rsidRPr="005A05AB">
              <w:rPr>
                <w:b/>
                <w:bCs/>
                <w:sz w:val="20"/>
                <w:szCs w:val="20"/>
              </w:rPr>
              <w:t>Target outcome 4e: Distribution of human capital</w:t>
            </w:r>
          </w:p>
          <w:p w14:paraId="59FEF9C2" w14:textId="34FF02B5" w:rsidR="00E139EB" w:rsidRPr="005F1814" w:rsidRDefault="00E139EB" w:rsidP="00A44D7D">
            <w:pPr>
              <w:pStyle w:val="ListParagraph"/>
              <w:numPr>
                <w:ilvl w:val="0"/>
                <w:numId w:val="21"/>
              </w:numPr>
              <w:spacing w:before="40" w:after="40"/>
              <w:ind w:left="405"/>
              <w:rPr>
                <w:sz w:val="18"/>
                <w:szCs w:val="18"/>
              </w:rPr>
            </w:pPr>
            <w:r w:rsidRPr="005F1814">
              <w:rPr>
                <w:sz w:val="18"/>
                <w:szCs w:val="18"/>
              </w:rPr>
              <w:t xml:space="preserve">State and local funding and program approval and review processes </w:t>
            </w:r>
            <w:proofErr w:type="gramStart"/>
            <w:r w:rsidRPr="005F1814">
              <w:rPr>
                <w:sz w:val="18"/>
                <w:szCs w:val="18"/>
              </w:rPr>
              <w:t>take into account</w:t>
            </w:r>
            <w:proofErr w:type="gramEnd"/>
            <w:r w:rsidRPr="005F1814">
              <w:rPr>
                <w:sz w:val="18"/>
                <w:szCs w:val="18"/>
              </w:rPr>
              <w:t xml:space="preserve"> the quality and credentialing of educators. </w:t>
            </w:r>
            <w:r w:rsidR="005A05AB" w:rsidRPr="005F1814">
              <w:rPr>
                <w:sz w:val="18"/>
                <w:szCs w:val="18"/>
              </w:rPr>
              <w:br/>
            </w:r>
          </w:p>
          <w:p w14:paraId="25C06091" w14:textId="5142CA8B" w:rsidR="00E139EB" w:rsidRPr="00742572" w:rsidRDefault="00B33520" w:rsidP="00A44D7D">
            <w:pPr>
              <w:pStyle w:val="ListParagraph"/>
              <w:numPr>
                <w:ilvl w:val="0"/>
                <w:numId w:val="21"/>
              </w:numPr>
              <w:spacing w:before="40" w:after="40"/>
              <w:ind w:left="405"/>
              <w:rPr>
                <w:sz w:val="18"/>
                <w:szCs w:val="18"/>
              </w:rPr>
            </w:pPr>
            <w:r w:rsidRPr="005F1814">
              <w:rPr>
                <w:sz w:val="18"/>
                <w:szCs w:val="18"/>
              </w:rPr>
              <w:t xml:space="preserve">Teachers/instructors of pathways courses who meet criteria of being </w:t>
            </w:r>
            <w:r w:rsidR="003C4435" w:rsidRPr="005F1814">
              <w:rPr>
                <w:sz w:val="18"/>
                <w:szCs w:val="18"/>
              </w:rPr>
              <w:t xml:space="preserve">qualified, </w:t>
            </w:r>
            <w:r w:rsidR="005F1814" w:rsidRPr="005F1814">
              <w:rPr>
                <w:sz w:val="18"/>
                <w:szCs w:val="18"/>
              </w:rPr>
              <w:t>in</w:t>
            </w:r>
            <w:r w:rsidR="003C4435" w:rsidRPr="005F1814">
              <w:rPr>
                <w:sz w:val="18"/>
                <w:szCs w:val="18"/>
              </w:rPr>
              <w:t xml:space="preserve">-field, and/or experienced </w:t>
            </w:r>
            <w:r w:rsidR="00E139EB" w:rsidRPr="005F1814">
              <w:rPr>
                <w:sz w:val="18"/>
                <w:szCs w:val="18"/>
              </w:rPr>
              <w:t xml:space="preserve">are distributed equitably across </w:t>
            </w:r>
            <w:r w:rsidR="003C4435" w:rsidRPr="005F1814">
              <w:rPr>
                <w:sz w:val="18"/>
                <w:szCs w:val="18"/>
              </w:rPr>
              <w:t>schools</w:t>
            </w:r>
            <w:r w:rsidR="00E139EB" w:rsidRPr="005F1814">
              <w:rPr>
                <w:sz w:val="18"/>
                <w:szCs w:val="18"/>
              </w:rPr>
              <w:t>.</w:t>
            </w:r>
            <w:r w:rsidR="005A05AB">
              <w:rPr>
                <w:sz w:val="18"/>
                <w:szCs w:val="18"/>
              </w:rPr>
              <w:br/>
            </w:r>
          </w:p>
          <w:p w14:paraId="14063901" w14:textId="442765E5" w:rsidR="00E139EB" w:rsidRPr="00E139EB" w:rsidRDefault="00E139EB" w:rsidP="00A44D7D">
            <w:pPr>
              <w:pStyle w:val="ListParagraph"/>
              <w:numPr>
                <w:ilvl w:val="0"/>
                <w:numId w:val="21"/>
              </w:numPr>
              <w:spacing w:before="40" w:after="40"/>
              <w:ind w:left="405"/>
              <w:rPr>
                <w:sz w:val="18"/>
                <w:szCs w:val="18"/>
              </w:rPr>
            </w:pPr>
            <w:r w:rsidRPr="00742572">
              <w:rPr>
                <w:rFonts w:eastAsia="Calibri" w:cs="Calibri"/>
                <w:sz w:val="18"/>
                <w:szCs w:val="18"/>
              </w:rPr>
              <w:t>Shortages among pathways teachers are equitable across all schools within the district(s) and campuses within the institution(s).</w:t>
            </w:r>
            <w:r w:rsidR="005A05AB">
              <w:rPr>
                <w:rFonts w:eastAsia="Calibri" w:cs="Calibri"/>
                <w:sz w:val="18"/>
                <w:szCs w:val="18"/>
              </w:rPr>
              <w:br/>
            </w:r>
          </w:p>
          <w:p w14:paraId="12BAB959" w14:textId="732EE3A6" w:rsidR="00E139EB" w:rsidRPr="00E139EB" w:rsidRDefault="00E139EB" w:rsidP="00A44D7D">
            <w:pPr>
              <w:pStyle w:val="ListParagraph"/>
              <w:numPr>
                <w:ilvl w:val="0"/>
                <w:numId w:val="21"/>
              </w:numPr>
              <w:spacing w:before="40" w:after="40"/>
              <w:ind w:left="405"/>
              <w:rPr>
                <w:sz w:val="18"/>
                <w:szCs w:val="18"/>
              </w:rPr>
            </w:pPr>
            <w:r w:rsidRPr="00E139EB">
              <w:rPr>
                <w:sz w:val="18"/>
                <w:szCs w:val="18"/>
              </w:rPr>
              <w:t>Pathway educators reflect the demographic makeup of students</w:t>
            </w:r>
            <w:r w:rsidR="003C4435">
              <w:rPr>
                <w:sz w:val="18"/>
                <w:szCs w:val="18"/>
              </w:rPr>
              <w:t>.</w:t>
            </w:r>
          </w:p>
        </w:tc>
        <w:tc>
          <w:tcPr>
            <w:tcW w:w="2903" w:type="dxa"/>
            <w:tcBorders>
              <w:top w:val="single" w:sz="8" w:space="0" w:color="auto"/>
              <w:left w:val="single" w:sz="8" w:space="0" w:color="auto"/>
              <w:bottom w:val="single" w:sz="8" w:space="0" w:color="auto"/>
              <w:right w:val="single" w:sz="8" w:space="0" w:color="auto"/>
            </w:tcBorders>
            <w:shd w:val="clear" w:color="auto" w:fill="EEECE1" w:themeFill="background2"/>
          </w:tcPr>
          <w:p w14:paraId="6EB7408F" w14:textId="77777777" w:rsidR="00E139EB" w:rsidRDefault="00E139EB"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13268" w:rsidRPr="00ED64CA" w14:paraId="2CC61999" w14:textId="77777777" w:rsidTr="00497913">
              <w:tc>
                <w:tcPr>
                  <w:tcW w:w="652" w:type="dxa"/>
                </w:tcPr>
                <w:p w14:paraId="1968E165" w14:textId="77777777" w:rsidR="00913268" w:rsidRPr="00ED64CA" w:rsidRDefault="008530DA" w:rsidP="00913268">
                  <w:pPr>
                    <w:spacing w:before="40" w:after="40"/>
                    <w:jc w:val="center"/>
                    <w:rPr>
                      <w:b/>
                      <w:bCs/>
                      <w:sz w:val="20"/>
                      <w:szCs w:val="20"/>
                    </w:rPr>
                  </w:pPr>
                  <w:sdt>
                    <w:sdtPr>
                      <w:rPr>
                        <w:b/>
                        <w:bCs/>
                        <w:sz w:val="20"/>
                        <w:szCs w:val="20"/>
                      </w:rPr>
                      <w:id w:val="241765615"/>
                      <w14:checkbox>
                        <w14:checked w14:val="0"/>
                        <w14:checkedState w14:val="2612" w14:font="MS Gothic"/>
                        <w14:uncheckedState w14:val="2610" w14:font="MS Gothic"/>
                      </w14:checkbox>
                    </w:sdtPr>
                    <w:sdtContent>
                      <w:r w:rsidR="00913268">
                        <w:rPr>
                          <w:rFonts w:ascii="MS Gothic" w:eastAsia="MS Gothic" w:hAnsi="MS Gothic" w:hint="eastAsia"/>
                          <w:b/>
                          <w:bCs/>
                          <w:sz w:val="20"/>
                          <w:szCs w:val="20"/>
                        </w:rPr>
                        <w:t>☐</w:t>
                      </w:r>
                    </w:sdtContent>
                  </w:sdt>
                  <w:r w:rsidR="00913268" w:rsidRPr="00ED64CA">
                    <w:rPr>
                      <w:b/>
                      <w:bCs/>
                      <w:sz w:val="20"/>
                      <w:szCs w:val="20"/>
                    </w:rPr>
                    <w:t>1</w:t>
                  </w:r>
                </w:p>
              </w:tc>
              <w:tc>
                <w:tcPr>
                  <w:tcW w:w="652" w:type="dxa"/>
                </w:tcPr>
                <w:p w14:paraId="679BAD17" w14:textId="77777777" w:rsidR="00913268" w:rsidRPr="00ED64CA" w:rsidRDefault="008530DA" w:rsidP="00913268">
                  <w:pPr>
                    <w:spacing w:before="40" w:after="40"/>
                    <w:jc w:val="center"/>
                    <w:rPr>
                      <w:b/>
                      <w:bCs/>
                      <w:sz w:val="20"/>
                      <w:szCs w:val="20"/>
                    </w:rPr>
                  </w:pPr>
                  <w:sdt>
                    <w:sdtPr>
                      <w:rPr>
                        <w:b/>
                        <w:bCs/>
                        <w:sz w:val="20"/>
                        <w:szCs w:val="20"/>
                      </w:rPr>
                      <w:id w:val="-1991626528"/>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2</w:t>
                  </w:r>
                </w:p>
              </w:tc>
              <w:tc>
                <w:tcPr>
                  <w:tcW w:w="652" w:type="dxa"/>
                </w:tcPr>
                <w:p w14:paraId="5A4C3D8B" w14:textId="77777777" w:rsidR="00913268" w:rsidRPr="00ED64CA" w:rsidRDefault="008530DA" w:rsidP="00913268">
                  <w:pPr>
                    <w:spacing w:before="40" w:after="40"/>
                    <w:jc w:val="center"/>
                    <w:rPr>
                      <w:b/>
                      <w:bCs/>
                      <w:sz w:val="20"/>
                      <w:szCs w:val="20"/>
                    </w:rPr>
                  </w:pPr>
                  <w:sdt>
                    <w:sdtPr>
                      <w:rPr>
                        <w:b/>
                        <w:bCs/>
                        <w:sz w:val="20"/>
                        <w:szCs w:val="20"/>
                      </w:rPr>
                      <w:id w:val="1307820393"/>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3</w:t>
                  </w:r>
                </w:p>
              </w:tc>
              <w:tc>
                <w:tcPr>
                  <w:tcW w:w="653" w:type="dxa"/>
                </w:tcPr>
                <w:p w14:paraId="39E1F6CE" w14:textId="77777777" w:rsidR="00913268" w:rsidRPr="00ED64CA" w:rsidRDefault="008530DA" w:rsidP="00913268">
                  <w:pPr>
                    <w:spacing w:before="40" w:after="40"/>
                    <w:jc w:val="center"/>
                    <w:rPr>
                      <w:b/>
                      <w:bCs/>
                      <w:sz w:val="20"/>
                      <w:szCs w:val="20"/>
                    </w:rPr>
                  </w:pPr>
                  <w:sdt>
                    <w:sdtPr>
                      <w:rPr>
                        <w:b/>
                        <w:bCs/>
                        <w:sz w:val="20"/>
                        <w:szCs w:val="20"/>
                      </w:rPr>
                      <w:id w:val="914519071"/>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4</w:t>
                  </w:r>
                </w:p>
              </w:tc>
            </w:tr>
          </w:tbl>
          <w:p w14:paraId="54E73571" w14:textId="77777777" w:rsidR="00913268" w:rsidRDefault="00913268" w:rsidP="00E139EB">
            <w:pPr>
              <w:spacing w:before="40" w:after="4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13268" w:rsidRPr="00ED64CA" w14:paraId="316D7E31" w14:textId="77777777" w:rsidTr="00497913">
              <w:tc>
                <w:tcPr>
                  <w:tcW w:w="652" w:type="dxa"/>
                </w:tcPr>
                <w:p w14:paraId="226B44BB" w14:textId="77777777" w:rsidR="00913268" w:rsidRPr="00ED64CA" w:rsidRDefault="008530DA" w:rsidP="00913268">
                  <w:pPr>
                    <w:spacing w:before="40" w:after="40"/>
                    <w:jc w:val="center"/>
                    <w:rPr>
                      <w:b/>
                      <w:bCs/>
                      <w:sz w:val="20"/>
                      <w:szCs w:val="20"/>
                    </w:rPr>
                  </w:pPr>
                  <w:sdt>
                    <w:sdtPr>
                      <w:rPr>
                        <w:b/>
                        <w:bCs/>
                        <w:sz w:val="20"/>
                        <w:szCs w:val="20"/>
                      </w:rPr>
                      <w:id w:val="-1980526695"/>
                      <w14:checkbox>
                        <w14:checked w14:val="0"/>
                        <w14:checkedState w14:val="2612" w14:font="MS Gothic"/>
                        <w14:uncheckedState w14:val="2610" w14:font="MS Gothic"/>
                      </w14:checkbox>
                    </w:sdtPr>
                    <w:sdtContent>
                      <w:r w:rsidR="00913268">
                        <w:rPr>
                          <w:rFonts w:ascii="MS Gothic" w:eastAsia="MS Gothic" w:hAnsi="MS Gothic" w:hint="eastAsia"/>
                          <w:b/>
                          <w:bCs/>
                          <w:sz w:val="20"/>
                          <w:szCs w:val="20"/>
                        </w:rPr>
                        <w:t>☐</w:t>
                      </w:r>
                    </w:sdtContent>
                  </w:sdt>
                  <w:r w:rsidR="00913268" w:rsidRPr="00ED64CA">
                    <w:rPr>
                      <w:b/>
                      <w:bCs/>
                      <w:sz w:val="20"/>
                      <w:szCs w:val="20"/>
                    </w:rPr>
                    <w:t>1</w:t>
                  </w:r>
                </w:p>
              </w:tc>
              <w:tc>
                <w:tcPr>
                  <w:tcW w:w="652" w:type="dxa"/>
                </w:tcPr>
                <w:p w14:paraId="08387C06" w14:textId="77777777" w:rsidR="00913268" w:rsidRPr="00ED64CA" w:rsidRDefault="008530DA" w:rsidP="00913268">
                  <w:pPr>
                    <w:spacing w:before="40" w:after="40"/>
                    <w:jc w:val="center"/>
                    <w:rPr>
                      <w:b/>
                      <w:bCs/>
                      <w:sz w:val="20"/>
                      <w:szCs w:val="20"/>
                    </w:rPr>
                  </w:pPr>
                  <w:sdt>
                    <w:sdtPr>
                      <w:rPr>
                        <w:b/>
                        <w:bCs/>
                        <w:sz w:val="20"/>
                        <w:szCs w:val="20"/>
                      </w:rPr>
                      <w:id w:val="1327547203"/>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2</w:t>
                  </w:r>
                </w:p>
              </w:tc>
              <w:tc>
                <w:tcPr>
                  <w:tcW w:w="652" w:type="dxa"/>
                </w:tcPr>
                <w:p w14:paraId="79FAAD98" w14:textId="77777777" w:rsidR="00913268" w:rsidRPr="00ED64CA" w:rsidRDefault="008530DA" w:rsidP="00913268">
                  <w:pPr>
                    <w:spacing w:before="40" w:after="40"/>
                    <w:jc w:val="center"/>
                    <w:rPr>
                      <w:b/>
                      <w:bCs/>
                      <w:sz w:val="20"/>
                      <w:szCs w:val="20"/>
                    </w:rPr>
                  </w:pPr>
                  <w:sdt>
                    <w:sdtPr>
                      <w:rPr>
                        <w:b/>
                        <w:bCs/>
                        <w:sz w:val="20"/>
                        <w:szCs w:val="20"/>
                      </w:rPr>
                      <w:id w:val="1143310873"/>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3</w:t>
                  </w:r>
                </w:p>
              </w:tc>
              <w:tc>
                <w:tcPr>
                  <w:tcW w:w="653" w:type="dxa"/>
                </w:tcPr>
                <w:p w14:paraId="20E2A1FF" w14:textId="77777777" w:rsidR="00913268" w:rsidRPr="00ED64CA" w:rsidRDefault="008530DA" w:rsidP="00913268">
                  <w:pPr>
                    <w:spacing w:before="40" w:after="40"/>
                    <w:jc w:val="center"/>
                    <w:rPr>
                      <w:b/>
                      <w:bCs/>
                      <w:sz w:val="20"/>
                      <w:szCs w:val="20"/>
                    </w:rPr>
                  </w:pPr>
                  <w:sdt>
                    <w:sdtPr>
                      <w:rPr>
                        <w:b/>
                        <w:bCs/>
                        <w:sz w:val="20"/>
                        <w:szCs w:val="20"/>
                      </w:rPr>
                      <w:id w:val="1039316966"/>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4</w:t>
                  </w:r>
                </w:p>
              </w:tc>
            </w:tr>
          </w:tbl>
          <w:p w14:paraId="163551F8" w14:textId="051C360A" w:rsidR="00913268" w:rsidRPr="00913268" w:rsidRDefault="00913268" w:rsidP="00E139EB">
            <w:pPr>
              <w:spacing w:before="40" w:after="4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13268" w:rsidRPr="00ED64CA" w14:paraId="6A33C741" w14:textId="77777777" w:rsidTr="00497913">
              <w:tc>
                <w:tcPr>
                  <w:tcW w:w="652" w:type="dxa"/>
                </w:tcPr>
                <w:p w14:paraId="0E1BBA5D" w14:textId="77777777" w:rsidR="00913268" w:rsidRPr="00ED64CA" w:rsidRDefault="008530DA" w:rsidP="00913268">
                  <w:pPr>
                    <w:spacing w:before="40" w:after="40"/>
                    <w:jc w:val="center"/>
                    <w:rPr>
                      <w:b/>
                      <w:bCs/>
                      <w:sz w:val="20"/>
                      <w:szCs w:val="20"/>
                    </w:rPr>
                  </w:pPr>
                  <w:sdt>
                    <w:sdtPr>
                      <w:rPr>
                        <w:b/>
                        <w:bCs/>
                        <w:sz w:val="20"/>
                        <w:szCs w:val="20"/>
                      </w:rPr>
                      <w:id w:val="1513028964"/>
                      <w14:checkbox>
                        <w14:checked w14:val="0"/>
                        <w14:checkedState w14:val="2612" w14:font="MS Gothic"/>
                        <w14:uncheckedState w14:val="2610" w14:font="MS Gothic"/>
                      </w14:checkbox>
                    </w:sdtPr>
                    <w:sdtContent>
                      <w:r w:rsidR="00913268">
                        <w:rPr>
                          <w:rFonts w:ascii="MS Gothic" w:eastAsia="MS Gothic" w:hAnsi="MS Gothic" w:hint="eastAsia"/>
                          <w:b/>
                          <w:bCs/>
                          <w:sz w:val="20"/>
                          <w:szCs w:val="20"/>
                        </w:rPr>
                        <w:t>☐</w:t>
                      </w:r>
                    </w:sdtContent>
                  </w:sdt>
                  <w:r w:rsidR="00913268" w:rsidRPr="00ED64CA">
                    <w:rPr>
                      <w:b/>
                      <w:bCs/>
                      <w:sz w:val="20"/>
                      <w:szCs w:val="20"/>
                    </w:rPr>
                    <w:t>1</w:t>
                  </w:r>
                </w:p>
              </w:tc>
              <w:tc>
                <w:tcPr>
                  <w:tcW w:w="652" w:type="dxa"/>
                </w:tcPr>
                <w:p w14:paraId="58C93EA0" w14:textId="77777777" w:rsidR="00913268" w:rsidRPr="00ED64CA" w:rsidRDefault="008530DA" w:rsidP="00913268">
                  <w:pPr>
                    <w:spacing w:before="40" w:after="40"/>
                    <w:jc w:val="center"/>
                    <w:rPr>
                      <w:b/>
                      <w:bCs/>
                      <w:sz w:val="20"/>
                      <w:szCs w:val="20"/>
                    </w:rPr>
                  </w:pPr>
                  <w:sdt>
                    <w:sdtPr>
                      <w:rPr>
                        <w:b/>
                        <w:bCs/>
                        <w:sz w:val="20"/>
                        <w:szCs w:val="20"/>
                      </w:rPr>
                      <w:id w:val="1181168324"/>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2</w:t>
                  </w:r>
                </w:p>
              </w:tc>
              <w:tc>
                <w:tcPr>
                  <w:tcW w:w="652" w:type="dxa"/>
                </w:tcPr>
                <w:p w14:paraId="3B746CD9" w14:textId="77777777" w:rsidR="00913268" w:rsidRPr="00ED64CA" w:rsidRDefault="008530DA" w:rsidP="00913268">
                  <w:pPr>
                    <w:spacing w:before="40" w:after="40"/>
                    <w:jc w:val="center"/>
                    <w:rPr>
                      <w:b/>
                      <w:bCs/>
                      <w:sz w:val="20"/>
                      <w:szCs w:val="20"/>
                    </w:rPr>
                  </w:pPr>
                  <w:sdt>
                    <w:sdtPr>
                      <w:rPr>
                        <w:b/>
                        <w:bCs/>
                        <w:sz w:val="20"/>
                        <w:szCs w:val="20"/>
                      </w:rPr>
                      <w:id w:val="-830208485"/>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3</w:t>
                  </w:r>
                </w:p>
              </w:tc>
              <w:tc>
                <w:tcPr>
                  <w:tcW w:w="653" w:type="dxa"/>
                </w:tcPr>
                <w:p w14:paraId="7C8089CF" w14:textId="77777777" w:rsidR="00913268" w:rsidRPr="00ED64CA" w:rsidRDefault="008530DA" w:rsidP="00913268">
                  <w:pPr>
                    <w:spacing w:before="40" w:after="40"/>
                    <w:jc w:val="center"/>
                    <w:rPr>
                      <w:b/>
                      <w:bCs/>
                      <w:sz w:val="20"/>
                      <w:szCs w:val="20"/>
                    </w:rPr>
                  </w:pPr>
                  <w:sdt>
                    <w:sdtPr>
                      <w:rPr>
                        <w:b/>
                        <w:bCs/>
                        <w:sz w:val="20"/>
                        <w:szCs w:val="20"/>
                      </w:rPr>
                      <w:id w:val="2005015189"/>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4</w:t>
                  </w:r>
                </w:p>
              </w:tc>
            </w:tr>
          </w:tbl>
          <w:p w14:paraId="2651D9A7" w14:textId="5F6FE898" w:rsidR="00913268" w:rsidRPr="00913268" w:rsidRDefault="00913268" w:rsidP="00E139EB">
            <w:pPr>
              <w:spacing w:before="40" w:after="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52"/>
              <w:gridCol w:w="652"/>
              <w:gridCol w:w="653"/>
            </w:tblGrid>
            <w:tr w:rsidR="00913268" w:rsidRPr="00ED64CA" w14:paraId="0DAA67DC" w14:textId="77777777" w:rsidTr="00497913">
              <w:tc>
                <w:tcPr>
                  <w:tcW w:w="652" w:type="dxa"/>
                </w:tcPr>
                <w:p w14:paraId="281A1B33" w14:textId="77777777" w:rsidR="00913268" w:rsidRPr="00ED64CA" w:rsidRDefault="008530DA" w:rsidP="00913268">
                  <w:pPr>
                    <w:spacing w:before="40" w:after="40"/>
                    <w:jc w:val="center"/>
                    <w:rPr>
                      <w:b/>
                      <w:bCs/>
                      <w:sz w:val="20"/>
                      <w:szCs w:val="20"/>
                    </w:rPr>
                  </w:pPr>
                  <w:sdt>
                    <w:sdtPr>
                      <w:rPr>
                        <w:b/>
                        <w:bCs/>
                        <w:sz w:val="20"/>
                        <w:szCs w:val="20"/>
                      </w:rPr>
                      <w:id w:val="-739475287"/>
                      <w14:checkbox>
                        <w14:checked w14:val="0"/>
                        <w14:checkedState w14:val="2612" w14:font="MS Gothic"/>
                        <w14:uncheckedState w14:val="2610" w14:font="MS Gothic"/>
                      </w14:checkbox>
                    </w:sdtPr>
                    <w:sdtContent>
                      <w:r w:rsidR="00913268">
                        <w:rPr>
                          <w:rFonts w:ascii="MS Gothic" w:eastAsia="MS Gothic" w:hAnsi="MS Gothic" w:hint="eastAsia"/>
                          <w:b/>
                          <w:bCs/>
                          <w:sz w:val="20"/>
                          <w:szCs w:val="20"/>
                        </w:rPr>
                        <w:t>☐</w:t>
                      </w:r>
                    </w:sdtContent>
                  </w:sdt>
                  <w:r w:rsidR="00913268" w:rsidRPr="00ED64CA">
                    <w:rPr>
                      <w:b/>
                      <w:bCs/>
                      <w:sz w:val="20"/>
                      <w:szCs w:val="20"/>
                    </w:rPr>
                    <w:t>1</w:t>
                  </w:r>
                </w:p>
              </w:tc>
              <w:tc>
                <w:tcPr>
                  <w:tcW w:w="652" w:type="dxa"/>
                </w:tcPr>
                <w:p w14:paraId="0C922D60" w14:textId="77777777" w:rsidR="00913268" w:rsidRPr="00ED64CA" w:rsidRDefault="008530DA" w:rsidP="00913268">
                  <w:pPr>
                    <w:spacing w:before="40" w:after="40"/>
                    <w:jc w:val="center"/>
                    <w:rPr>
                      <w:b/>
                      <w:bCs/>
                      <w:sz w:val="20"/>
                      <w:szCs w:val="20"/>
                    </w:rPr>
                  </w:pPr>
                  <w:sdt>
                    <w:sdtPr>
                      <w:rPr>
                        <w:b/>
                        <w:bCs/>
                        <w:sz w:val="20"/>
                        <w:szCs w:val="20"/>
                      </w:rPr>
                      <w:id w:val="765191085"/>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2</w:t>
                  </w:r>
                </w:p>
              </w:tc>
              <w:tc>
                <w:tcPr>
                  <w:tcW w:w="652" w:type="dxa"/>
                </w:tcPr>
                <w:p w14:paraId="5EE3780A" w14:textId="77777777" w:rsidR="00913268" w:rsidRPr="00ED64CA" w:rsidRDefault="008530DA" w:rsidP="00913268">
                  <w:pPr>
                    <w:spacing w:before="40" w:after="40"/>
                    <w:jc w:val="center"/>
                    <w:rPr>
                      <w:b/>
                      <w:bCs/>
                      <w:sz w:val="20"/>
                      <w:szCs w:val="20"/>
                    </w:rPr>
                  </w:pPr>
                  <w:sdt>
                    <w:sdtPr>
                      <w:rPr>
                        <w:b/>
                        <w:bCs/>
                        <w:sz w:val="20"/>
                        <w:szCs w:val="20"/>
                      </w:rPr>
                      <w:id w:val="-783344631"/>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3</w:t>
                  </w:r>
                </w:p>
              </w:tc>
              <w:tc>
                <w:tcPr>
                  <w:tcW w:w="653" w:type="dxa"/>
                </w:tcPr>
                <w:p w14:paraId="5781125D" w14:textId="77777777" w:rsidR="00913268" w:rsidRPr="00ED64CA" w:rsidRDefault="008530DA" w:rsidP="00913268">
                  <w:pPr>
                    <w:spacing w:before="40" w:after="40"/>
                    <w:jc w:val="center"/>
                    <w:rPr>
                      <w:b/>
                      <w:bCs/>
                      <w:sz w:val="20"/>
                      <w:szCs w:val="20"/>
                    </w:rPr>
                  </w:pPr>
                  <w:sdt>
                    <w:sdtPr>
                      <w:rPr>
                        <w:b/>
                        <w:bCs/>
                        <w:sz w:val="20"/>
                        <w:szCs w:val="20"/>
                      </w:rPr>
                      <w:id w:val="-584839747"/>
                      <w14:checkbox>
                        <w14:checked w14:val="0"/>
                        <w14:checkedState w14:val="2612" w14:font="MS Gothic"/>
                        <w14:uncheckedState w14:val="2610" w14:font="MS Gothic"/>
                      </w14:checkbox>
                    </w:sdtPr>
                    <w:sdtContent>
                      <w:r w:rsidR="00913268" w:rsidRPr="00ED64CA">
                        <w:rPr>
                          <w:rFonts w:ascii="MS Gothic" w:eastAsia="MS Gothic" w:hAnsi="MS Gothic" w:hint="eastAsia"/>
                          <w:b/>
                          <w:bCs/>
                          <w:sz w:val="20"/>
                          <w:szCs w:val="20"/>
                        </w:rPr>
                        <w:t>☐</w:t>
                      </w:r>
                    </w:sdtContent>
                  </w:sdt>
                  <w:r w:rsidR="00913268" w:rsidRPr="00ED64CA">
                    <w:rPr>
                      <w:b/>
                      <w:bCs/>
                      <w:sz w:val="20"/>
                      <w:szCs w:val="20"/>
                    </w:rPr>
                    <w:t>4</w:t>
                  </w:r>
                </w:p>
              </w:tc>
            </w:tr>
          </w:tbl>
          <w:p w14:paraId="20199188" w14:textId="1696659F" w:rsidR="00913268" w:rsidRPr="00E139EB" w:rsidRDefault="00913268" w:rsidP="00E139EB">
            <w:pPr>
              <w:spacing w:before="40" w:after="40"/>
              <w:rPr>
                <w:sz w:val="18"/>
                <w:szCs w:val="18"/>
              </w:rPr>
            </w:pPr>
          </w:p>
        </w:tc>
      </w:tr>
      <w:tr w:rsidR="004C574E" w14:paraId="0AD15881" w14:textId="77777777" w:rsidTr="00D92883">
        <w:tblPrEx>
          <w:tblBorders>
            <w:top w:val="single" w:sz="8" w:space="0" w:color="auto"/>
            <w:left w:val="single" w:sz="8" w:space="0" w:color="auto"/>
            <w:bottom w:val="single" w:sz="8" w:space="0" w:color="auto"/>
            <w:insideH w:val="single" w:sz="8" w:space="0" w:color="auto"/>
            <w:insideV w:val="single" w:sz="8" w:space="0" w:color="auto"/>
          </w:tblBorders>
        </w:tblPrEx>
        <w:tc>
          <w:tcPr>
            <w:tcW w:w="4896" w:type="dxa"/>
            <w:gridSpan w:val="4"/>
            <w:tcBorders>
              <w:right w:val="single" w:sz="8" w:space="0" w:color="auto"/>
            </w:tcBorders>
            <w:shd w:val="clear" w:color="auto" w:fill="FFFAEF"/>
          </w:tcPr>
          <w:p w14:paraId="54138C66" w14:textId="69593D74" w:rsidR="004C574E" w:rsidRPr="00913268" w:rsidRDefault="0029444E" w:rsidP="004C574E">
            <w:pPr>
              <w:spacing w:before="40" w:after="40"/>
              <w:jc w:val="center"/>
              <w:rPr>
                <w:b/>
                <w:sz w:val="20"/>
                <w:szCs w:val="20"/>
                <w:u w:val="single"/>
              </w:rPr>
            </w:pPr>
            <w:r>
              <w:rPr>
                <w:b/>
                <w:sz w:val="20"/>
                <w:szCs w:val="20"/>
                <w:u w:val="single"/>
              </w:rPr>
              <w:t xml:space="preserve">Greatest Strengths for </w:t>
            </w:r>
            <w:r w:rsidR="00922C2F">
              <w:rPr>
                <w:b/>
                <w:sz w:val="20"/>
                <w:szCs w:val="20"/>
                <w:u w:val="single"/>
              </w:rPr>
              <w:t>Equity</w:t>
            </w:r>
          </w:p>
          <w:p w14:paraId="0CFDFDB3" w14:textId="77777777" w:rsidR="004C574E" w:rsidRDefault="004C574E" w:rsidP="004C574E">
            <w:pPr>
              <w:spacing w:before="40" w:after="40"/>
              <w:rPr>
                <w:sz w:val="18"/>
                <w:szCs w:val="18"/>
              </w:rPr>
            </w:pPr>
          </w:p>
          <w:p w14:paraId="06FA6AF0" w14:textId="77777777" w:rsidR="004C574E" w:rsidRDefault="004C574E" w:rsidP="004C574E">
            <w:pPr>
              <w:spacing w:before="40" w:after="40"/>
              <w:rPr>
                <w:sz w:val="18"/>
                <w:szCs w:val="18"/>
              </w:rPr>
            </w:pPr>
          </w:p>
          <w:p w14:paraId="4FE5216C" w14:textId="77777777" w:rsidR="004C574E" w:rsidRDefault="004C574E" w:rsidP="004C574E">
            <w:pPr>
              <w:spacing w:before="40" w:after="40"/>
              <w:rPr>
                <w:sz w:val="18"/>
                <w:szCs w:val="18"/>
              </w:rPr>
            </w:pPr>
          </w:p>
          <w:p w14:paraId="24401AD5" w14:textId="77777777" w:rsidR="004C574E" w:rsidRDefault="004C574E" w:rsidP="004C574E">
            <w:pPr>
              <w:spacing w:before="40" w:after="40"/>
              <w:rPr>
                <w:sz w:val="18"/>
                <w:szCs w:val="18"/>
              </w:rPr>
            </w:pPr>
          </w:p>
          <w:p w14:paraId="4A5214C0" w14:textId="77777777" w:rsidR="004C574E" w:rsidRPr="00C57918" w:rsidRDefault="004C574E" w:rsidP="004C574E">
            <w:pPr>
              <w:spacing w:before="40" w:after="40"/>
              <w:rPr>
                <w:sz w:val="18"/>
                <w:szCs w:val="18"/>
              </w:rPr>
            </w:pPr>
          </w:p>
          <w:p w14:paraId="49F2EC81" w14:textId="77777777" w:rsidR="004C574E" w:rsidRDefault="004C574E" w:rsidP="004C574E">
            <w:pPr>
              <w:spacing w:before="40" w:after="40"/>
              <w:rPr>
                <w:sz w:val="18"/>
                <w:szCs w:val="18"/>
              </w:rPr>
            </w:pPr>
          </w:p>
          <w:p w14:paraId="0767FA24" w14:textId="77777777" w:rsidR="004C574E" w:rsidRDefault="004C574E" w:rsidP="004C574E">
            <w:pPr>
              <w:spacing w:before="40" w:after="40"/>
              <w:rPr>
                <w:sz w:val="18"/>
                <w:szCs w:val="18"/>
              </w:rPr>
            </w:pPr>
          </w:p>
          <w:p w14:paraId="1332747A" w14:textId="77777777" w:rsidR="004C574E" w:rsidRDefault="004C574E" w:rsidP="004C574E">
            <w:pPr>
              <w:spacing w:before="40" w:after="40"/>
              <w:rPr>
                <w:sz w:val="18"/>
                <w:szCs w:val="18"/>
              </w:rPr>
            </w:pPr>
          </w:p>
          <w:p w14:paraId="6C0F70DE" w14:textId="77777777" w:rsidR="00913268" w:rsidRDefault="00913268" w:rsidP="004C574E">
            <w:pPr>
              <w:spacing w:before="40" w:after="40"/>
              <w:rPr>
                <w:sz w:val="18"/>
                <w:szCs w:val="18"/>
              </w:rPr>
            </w:pPr>
          </w:p>
          <w:p w14:paraId="233FCAD9" w14:textId="233C7D0F" w:rsidR="00913268" w:rsidRDefault="00913268" w:rsidP="004C574E">
            <w:pPr>
              <w:spacing w:before="40" w:after="40"/>
              <w:rPr>
                <w:sz w:val="18"/>
                <w:szCs w:val="18"/>
              </w:rPr>
            </w:pPr>
          </w:p>
          <w:p w14:paraId="6296672A" w14:textId="3F00915F" w:rsidR="00D25142" w:rsidRDefault="00D25142" w:rsidP="004C574E">
            <w:pPr>
              <w:spacing w:before="40" w:after="40"/>
              <w:rPr>
                <w:sz w:val="18"/>
                <w:szCs w:val="18"/>
              </w:rPr>
            </w:pPr>
          </w:p>
          <w:p w14:paraId="13D5BE8F" w14:textId="09FC2DA6" w:rsidR="00D25142" w:rsidRDefault="00D25142" w:rsidP="004C574E">
            <w:pPr>
              <w:spacing w:before="40" w:after="40"/>
              <w:rPr>
                <w:sz w:val="18"/>
                <w:szCs w:val="18"/>
              </w:rPr>
            </w:pPr>
          </w:p>
          <w:p w14:paraId="2A6FE789" w14:textId="22124F62" w:rsidR="00D25142" w:rsidRDefault="00D25142" w:rsidP="004C574E">
            <w:pPr>
              <w:spacing w:before="40" w:after="40"/>
              <w:rPr>
                <w:sz w:val="18"/>
                <w:szCs w:val="18"/>
              </w:rPr>
            </w:pPr>
          </w:p>
          <w:p w14:paraId="337C298F" w14:textId="77777777" w:rsidR="00D25142" w:rsidRDefault="00D25142" w:rsidP="004C574E">
            <w:pPr>
              <w:spacing w:before="40" w:after="40"/>
              <w:rPr>
                <w:sz w:val="18"/>
                <w:szCs w:val="18"/>
              </w:rPr>
            </w:pPr>
          </w:p>
          <w:p w14:paraId="3AF3F26C" w14:textId="2769DC93" w:rsidR="00913268" w:rsidRPr="00C57918" w:rsidRDefault="00913268" w:rsidP="004C574E">
            <w:pPr>
              <w:spacing w:before="40" w:after="40"/>
              <w:rPr>
                <w:sz w:val="18"/>
                <w:szCs w:val="18"/>
              </w:rPr>
            </w:pPr>
          </w:p>
        </w:tc>
        <w:tc>
          <w:tcPr>
            <w:tcW w:w="4896" w:type="dxa"/>
            <w:gridSpan w:val="3"/>
            <w:tcBorders>
              <w:right w:val="single" w:sz="8" w:space="0" w:color="auto"/>
            </w:tcBorders>
            <w:shd w:val="clear" w:color="auto" w:fill="FFFAEF"/>
          </w:tcPr>
          <w:p w14:paraId="3455FAE3" w14:textId="12878F21" w:rsidR="004C574E" w:rsidRPr="00913268" w:rsidRDefault="004C574E" w:rsidP="00D92883">
            <w:pPr>
              <w:spacing w:before="40" w:after="40"/>
              <w:jc w:val="center"/>
              <w:rPr>
                <w:b/>
                <w:sz w:val="20"/>
                <w:szCs w:val="20"/>
              </w:rPr>
            </w:pPr>
            <w:r w:rsidRPr="00913268">
              <w:rPr>
                <w:b/>
                <w:sz w:val="20"/>
                <w:szCs w:val="20"/>
                <w:u w:val="single"/>
              </w:rPr>
              <w:t xml:space="preserve">Key Challenges for </w:t>
            </w:r>
            <w:r w:rsidR="00922C2F">
              <w:rPr>
                <w:b/>
                <w:sz w:val="20"/>
                <w:szCs w:val="20"/>
                <w:u w:val="single"/>
              </w:rPr>
              <w:t>Equity</w:t>
            </w:r>
          </w:p>
          <w:p w14:paraId="6186A5AA" w14:textId="77777777" w:rsidR="004C574E" w:rsidRDefault="004C574E" w:rsidP="004C574E">
            <w:pPr>
              <w:spacing w:before="40" w:after="40"/>
              <w:rPr>
                <w:sz w:val="18"/>
                <w:szCs w:val="18"/>
              </w:rPr>
            </w:pPr>
          </w:p>
          <w:p w14:paraId="058E4460" w14:textId="77777777" w:rsidR="004C574E" w:rsidRDefault="004C574E" w:rsidP="004C574E">
            <w:pPr>
              <w:spacing w:before="40" w:after="40"/>
              <w:rPr>
                <w:sz w:val="18"/>
                <w:szCs w:val="18"/>
              </w:rPr>
            </w:pPr>
          </w:p>
        </w:tc>
        <w:tc>
          <w:tcPr>
            <w:tcW w:w="4896" w:type="dxa"/>
            <w:gridSpan w:val="3"/>
            <w:tcBorders>
              <w:right w:val="single" w:sz="8" w:space="0" w:color="auto"/>
            </w:tcBorders>
            <w:shd w:val="clear" w:color="auto" w:fill="FFFAEF"/>
          </w:tcPr>
          <w:p w14:paraId="3DE1D3A4" w14:textId="54BF4037" w:rsidR="004C574E" w:rsidRPr="00913268" w:rsidRDefault="0029444E" w:rsidP="004C574E">
            <w:pPr>
              <w:spacing w:before="40" w:after="40"/>
              <w:jc w:val="center"/>
              <w:rPr>
                <w:sz w:val="20"/>
                <w:szCs w:val="20"/>
              </w:rPr>
            </w:pPr>
            <w:r>
              <w:rPr>
                <w:b/>
                <w:sz w:val="20"/>
                <w:szCs w:val="20"/>
                <w:u w:val="single"/>
              </w:rPr>
              <w:t xml:space="preserve">Top Priorities for </w:t>
            </w:r>
            <w:r w:rsidR="00922C2F">
              <w:rPr>
                <w:b/>
                <w:sz w:val="20"/>
                <w:szCs w:val="20"/>
                <w:u w:val="single"/>
              </w:rPr>
              <w:t>Equity</w:t>
            </w:r>
          </w:p>
          <w:p w14:paraId="1B812055" w14:textId="77777777" w:rsidR="004C574E" w:rsidRDefault="004C574E" w:rsidP="004C574E">
            <w:pPr>
              <w:spacing w:before="40" w:after="40"/>
              <w:rPr>
                <w:sz w:val="18"/>
                <w:szCs w:val="18"/>
              </w:rPr>
            </w:pPr>
          </w:p>
          <w:p w14:paraId="43C229FB" w14:textId="77777777" w:rsidR="004C574E" w:rsidRPr="00C57918" w:rsidRDefault="004C574E" w:rsidP="004C574E">
            <w:pPr>
              <w:spacing w:before="40" w:after="40"/>
              <w:rPr>
                <w:sz w:val="18"/>
                <w:szCs w:val="18"/>
              </w:rPr>
            </w:pPr>
          </w:p>
        </w:tc>
      </w:tr>
    </w:tbl>
    <w:p w14:paraId="15D35869" w14:textId="77777777" w:rsidR="004C574E" w:rsidRDefault="004C574E" w:rsidP="007110D0"/>
    <w:sectPr w:rsidR="004C574E" w:rsidSect="00782510">
      <w:headerReference w:type="default" r:id="rId7"/>
      <w:footerReference w:type="default" r:id="rId8"/>
      <w:pgSz w:w="15840" w:h="12240" w:orient="landscape"/>
      <w:pgMar w:top="576" w:right="720" w:bottom="432"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BBE5" w14:textId="77777777" w:rsidR="001B54FB" w:rsidRDefault="001B54FB" w:rsidP="00B26240">
      <w:pPr>
        <w:spacing w:after="0" w:line="240" w:lineRule="auto"/>
      </w:pPr>
      <w:r>
        <w:separator/>
      </w:r>
    </w:p>
  </w:endnote>
  <w:endnote w:type="continuationSeparator" w:id="0">
    <w:p w14:paraId="780BDE26" w14:textId="77777777" w:rsidR="001B54FB" w:rsidRDefault="001B54FB" w:rsidP="00B2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8"/>
        <w:szCs w:val="28"/>
      </w:rPr>
      <w:id w:val="211972243"/>
      <w:docPartObj>
        <w:docPartGallery w:val="Page Numbers (Bottom of Page)"/>
        <w:docPartUnique/>
      </w:docPartObj>
    </w:sdtPr>
    <w:sdtContent>
      <w:p w14:paraId="4DFBD928" w14:textId="558D4487" w:rsidR="008530DA" w:rsidRDefault="008530DA">
        <w:pPr>
          <w:pStyle w:val="Footer"/>
          <w:jc w:val="center"/>
          <w:rPr>
            <w:rFonts w:asciiTheme="majorHAnsi" w:hAnsiTheme="majorHAnsi"/>
            <w:sz w:val="28"/>
            <w:szCs w:val="28"/>
          </w:rPr>
        </w:pPr>
        <w:r w:rsidRPr="00491589">
          <w:rPr>
            <w:sz w:val="18"/>
            <w:szCs w:val="18"/>
          </w:rPr>
          <w:t xml:space="preserve">~ </w:t>
        </w:r>
        <w:r w:rsidRPr="00491589">
          <w:rPr>
            <w:sz w:val="18"/>
            <w:szCs w:val="18"/>
          </w:rPr>
          <w:fldChar w:fldCharType="begin"/>
        </w:r>
        <w:r w:rsidRPr="00491589">
          <w:rPr>
            <w:sz w:val="18"/>
            <w:szCs w:val="18"/>
          </w:rPr>
          <w:instrText xml:space="preserve"> PAGE    \* MERGEFORMAT </w:instrText>
        </w:r>
        <w:r w:rsidRPr="00491589">
          <w:rPr>
            <w:sz w:val="18"/>
            <w:szCs w:val="18"/>
          </w:rPr>
          <w:fldChar w:fldCharType="separate"/>
        </w:r>
        <w:r>
          <w:rPr>
            <w:noProof/>
            <w:sz w:val="18"/>
            <w:szCs w:val="18"/>
          </w:rPr>
          <w:t>3</w:t>
        </w:r>
        <w:r w:rsidRPr="00491589">
          <w:rPr>
            <w:sz w:val="18"/>
            <w:szCs w:val="18"/>
          </w:rPr>
          <w:fldChar w:fldCharType="end"/>
        </w:r>
        <w:r w:rsidRPr="00491589">
          <w:rPr>
            <w:sz w:val="18"/>
            <w:szCs w:val="18"/>
          </w:rPr>
          <w:t xml:space="preserve"> ~</w:t>
        </w:r>
      </w:p>
    </w:sdtContent>
  </w:sdt>
  <w:p w14:paraId="51C6A6ED" w14:textId="77777777" w:rsidR="008530DA" w:rsidRDefault="0085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55DD5" w14:textId="77777777" w:rsidR="001B54FB" w:rsidRDefault="001B54FB" w:rsidP="00B26240">
      <w:pPr>
        <w:spacing w:after="0" w:line="240" w:lineRule="auto"/>
      </w:pPr>
      <w:r>
        <w:separator/>
      </w:r>
    </w:p>
  </w:footnote>
  <w:footnote w:type="continuationSeparator" w:id="0">
    <w:p w14:paraId="7EC1F7A3" w14:textId="77777777" w:rsidR="001B54FB" w:rsidRDefault="001B54FB" w:rsidP="00B26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FCEA" w14:textId="358E5C34" w:rsidR="008530DA" w:rsidRDefault="008530DA" w:rsidP="00491589">
    <w:pPr>
      <w:pStyle w:val="Header"/>
      <w:spacing w:after="120"/>
      <w:jc w:val="center"/>
    </w:pPr>
    <w:r w:rsidRPr="00491589">
      <w:rPr>
        <w:noProof/>
      </w:rPr>
      <w:drawing>
        <wp:anchor distT="0" distB="0" distL="114300" distR="114300" simplePos="0" relativeHeight="251657216" behindDoc="1" locked="0" layoutInCell="1" allowOverlap="1" wp14:anchorId="0DF89FD1" wp14:editId="191FB8C3">
          <wp:simplePos x="0" y="0"/>
          <wp:positionH relativeFrom="column">
            <wp:posOffset>7524750</wp:posOffset>
          </wp:positionH>
          <wp:positionV relativeFrom="paragraph">
            <wp:posOffset>1270</wp:posOffset>
          </wp:positionV>
          <wp:extent cx="1495425" cy="323850"/>
          <wp:effectExtent l="19050" t="0" r="9525" b="0"/>
          <wp:wrapNone/>
          <wp:docPr id="6" name="Picture 0" descr="Advance C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 CTE Logo.jpg"/>
                  <pic:cNvPicPr/>
                </pic:nvPicPr>
                <pic:blipFill>
                  <a:blip r:embed="rId1"/>
                  <a:stretch>
                    <a:fillRect/>
                  </a:stretch>
                </pic:blipFill>
                <pic:spPr>
                  <a:xfrm>
                    <a:off x="0" y="0"/>
                    <a:ext cx="1495425" cy="323850"/>
                  </a:xfrm>
                  <a:prstGeom prst="rect">
                    <a:avLst/>
                  </a:prstGeom>
                </pic:spPr>
              </pic:pic>
            </a:graphicData>
          </a:graphic>
        </wp:anchor>
      </w:drawing>
    </w:r>
    <w:r>
      <w:rPr>
        <w:noProof/>
      </w:rPr>
      <w:drawing>
        <wp:anchor distT="0" distB="0" distL="114300" distR="114300" simplePos="0" relativeHeight="251682816" behindDoc="1" locked="0" layoutInCell="1" allowOverlap="1" wp14:anchorId="6D00AF8D" wp14:editId="6F5E2EE6">
          <wp:simplePos x="0" y="0"/>
          <wp:positionH relativeFrom="column">
            <wp:posOffset>66675</wp:posOffset>
          </wp:positionH>
          <wp:positionV relativeFrom="paragraph">
            <wp:posOffset>-112395</wp:posOffset>
          </wp:positionV>
          <wp:extent cx="2049929" cy="59436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G Logo_1.29.17.jpg"/>
                  <pic:cNvPicPr/>
                </pic:nvPicPr>
                <pic:blipFill rotWithShape="1">
                  <a:blip r:embed="rId2">
                    <a:extLst>
                      <a:ext uri="{28A0092B-C50C-407E-A947-70E740481C1C}">
                        <a14:useLocalDpi xmlns:a14="http://schemas.microsoft.com/office/drawing/2010/main" val="0"/>
                      </a:ext>
                    </a:extLst>
                  </a:blip>
                  <a:srcRect t="24315" b="27383"/>
                  <a:stretch/>
                </pic:blipFill>
                <pic:spPr bwMode="auto">
                  <a:xfrm>
                    <a:off x="0" y="0"/>
                    <a:ext cx="2049929"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0A8EE6" w14:textId="2F474759" w:rsidR="008530DA" w:rsidRPr="0043501C" w:rsidRDefault="008530DA" w:rsidP="00491589">
    <w:pPr>
      <w:pStyle w:val="Header"/>
      <w:spacing w:after="240"/>
      <w:jc w:val="center"/>
      <w:rPr>
        <w:b/>
        <w:sz w:val="24"/>
        <w:szCs w:val="24"/>
        <w:u w:val="single"/>
      </w:rPr>
    </w:pPr>
    <w:r>
      <w:rPr>
        <w:b/>
        <w:sz w:val="24"/>
        <w:szCs w:val="24"/>
        <w:u w:val="single"/>
      </w:rPr>
      <w:t>Global Career Readiness Initiative: Self-Assessment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8FE"/>
    <w:multiLevelType w:val="hybridMultilevel"/>
    <w:tmpl w:val="46DA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B1E6D"/>
    <w:multiLevelType w:val="hybridMultilevel"/>
    <w:tmpl w:val="29785216"/>
    <w:lvl w:ilvl="0" w:tplc="006A3ECA">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01B06"/>
    <w:multiLevelType w:val="hybridMultilevel"/>
    <w:tmpl w:val="4CB4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E6B0B"/>
    <w:multiLevelType w:val="hybridMultilevel"/>
    <w:tmpl w:val="BFBE8EEE"/>
    <w:lvl w:ilvl="0" w:tplc="CCB49086">
      <w:start w:val="1"/>
      <w:numFmt w:val="decimal"/>
      <w:lvlText w:val="%1."/>
      <w:lvlJc w:val="left"/>
      <w:pPr>
        <w:ind w:left="720"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60B1A"/>
    <w:multiLevelType w:val="hybridMultilevel"/>
    <w:tmpl w:val="7872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F7AF4"/>
    <w:multiLevelType w:val="hybridMultilevel"/>
    <w:tmpl w:val="2A3C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0525B"/>
    <w:multiLevelType w:val="hybridMultilevel"/>
    <w:tmpl w:val="4B28B446"/>
    <w:lvl w:ilvl="0" w:tplc="4BCC3AC0">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B2FA1"/>
    <w:multiLevelType w:val="hybridMultilevel"/>
    <w:tmpl w:val="0432449A"/>
    <w:lvl w:ilvl="0" w:tplc="39221E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174263"/>
    <w:multiLevelType w:val="hybridMultilevel"/>
    <w:tmpl w:val="8412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53C39"/>
    <w:multiLevelType w:val="hybridMultilevel"/>
    <w:tmpl w:val="7872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85EF1"/>
    <w:multiLevelType w:val="hybridMultilevel"/>
    <w:tmpl w:val="A9D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9474B"/>
    <w:multiLevelType w:val="hybridMultilevel"/>
    <w:tmpl w:val="26C4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21FEB"/>
    <w:multiLevelType w:val="hybridMultilevel"/>
    <w:tmpl w:val="BE54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F6E4C"/>
    <w:multiLevelType w:val="hybridMultilevel"/>
    <w:tmpl w:val="5566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82E72"/>
    <w:multiLevelType w:val="hybridMultilevel"/>
    <w:tmpl w:val="02526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653DF0"/>
    <w:multiLevelType w:val="hybridMultilevel"/>
    <w:tmpl w:val="CBAE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D03"/>
    <w:multiLevelType w:val="hybridMultilevel"/>
    <w:tmpl w:val="EC24E006"/>
    <w:lvl w:ilvl="0" w:tplc="786081F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5186A"/>
    <w:multiLevelType w:val="hybridMultilevel"/>
    <w:tmpl w:val="0B40F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52AC5"/>
    <w:multiLevelType w:val="hybridMultilevel"/>
    <w:tmpl w:val="1862C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E85EC8"/>
    <w:multiLevelType w:val="hybridMultilevel"/>
    <w:tmpl w:val="C4BA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85E8D"/>
    <w:multiLevelType w:val="hybridMultilevel"/>
    <w:tmpl w:val="7D7A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63E98"/>
    <w:multiLevelType w:val="hybridMultilevel"/>
    <w:tmpl w:val="05F6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E2BF5"/>
    <w:multiLevelType w:val="hybridMultilevel"/>
    <w:tmpl w:val="099E4562"/>
    <w:lvl w:ilvl="0" w:tplc="0DC47B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7"/>
  </w:num>
  <w:num w:numId="5">
    <w:abstractNumId w:val="17"/>
  </w:num>
  <w:num w:numId="6">
    <w:abstractNumId w:val="18"/>
  </w:num>
  <w:num w:numId="7">
    <w:abstractNumId w:val="1"/>
  </w:num>
  <w:num w:numId="8">
    <w:abstractNumId w:val="13"/>
  </w:num>
  <w:num w:numId="9">
    <w:abstractNumId w:val="4"/>
  </w:num>
  <w:num w:numId="10">
    <w:abstractNumId w:val="14"/>
  </w:num>
  <w:num w:numId="11">
    <w:abstractNumId w:val="15"/>
  </w:num>
  <w:num w:numId="12">
    <w:abstractNumId w:val="16"/>
  </w:num>
  <w:num w:numId="13">
    <w:abstractNumId w:val="21"/>
  </w:num>
  <w:num w:numId="14">
    <w:abstractNumId w:val="6"/>
  </w:num>
  <w:num w:numId="15">
    <w:abstractNumId w:val="11"/>
  </w:num>
  <w:num w:numId="16">
    <w:abstractNumId w:val="19"/>
  </w:num>
  <w:num w:numId="17">
    <w:abstractNumId w:val="0"/>
  </w:num>
  <w:num w:numId="18">
    <w:abstractNumId w:val="5"/>
  </w:num>
  <w:num w:numId="19">
    <w:abstractNumId w:val="20"/>
  </w:num>
  <w:num w:numId="20">
    <w:abstractNumId w:val="22"/>
  </w:num>
  <w:num w:numId="21">
    <w:abstractNumId w:val="8"/>
  </w:num>
  <w:num w:numId="22">
    <w:abstractNumId w:val="12"/>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3A"/>
    <w:rsid w:val="00003300"/>
    <w:rsid w:val="00004989"/>
    <w:rsid w:val="000054B7"/>
    <w:rsid w:val="00007FF4"/>
    <w:rsid w:val="00010CDC"/>
    <w:rsid w:val="00015804"/>
    <w:rsid w:val="000170FC"/>
    <w:rsid w:val="00022E43"/>
    <w:rsid w:val="00032847"/>
    <w:rsid w:val="00033906"/>
    <w:rsid w:val="00035277"/>
    <w:rsid w:val="00037366"/>
    <w:rsid w:val="000417A9"/>
    <w:rsid w:val="00043586"/>
    <w:rsid w:val="000473FB"/>
    <w:rsid w:val="00050C54"/>
    <w:rsid w:val="00050D68"/>
    <w:rsid w:val="00052D1B"/>
    <w:rsid w:val="00053312"/>
    <w:rsid w:val="00053770"/>
    <w:rsid w:val="000650DC"/>
    <w:rsid w:val="00066BA2"/>
    <w:rsid w:val="00070670"/>
    <w:rsid w:val="00072429"/>
    <w:rsid w:val="00073596"/>
    <w:rsid w:val="000805AC"/>
    <w:rsid w:val="0008267D"/>
    <w:rsid w:val="00083F54"/>
    <w:rsid w:val="0009548B"/>
    <w:rsid w:val="00095CAE"/>
    <w:rsid w:val="00097861"/>
    <w:rsid w:val="000A426B"/>
    <w:rsid w:val="000A5040"/>
    <w:rsid w:val="000B0719"/>
    <w:rsid w:val="000B14AB"/>
    <w:rsid w:val="000B5A1D"/>
    <w:rsid w:val="000B7B4C"/>
    <w:rsid w:val="000C3275"/>
    <w:rsid w:val="000C6137"/>
    <w:rsid w:val="000C6FDE"/>
    <w:rsid w:val="000D10DB"/>
    <w:rsid w:val="000D1297"/>
    <w:rsid w:val="000D1FFF"/>
    <w:rsid w:val="000D2E1F"/>
    <w:rsid w:val="000D7AF5"/>
    <w:rsid w:val="000E1B4D"/>
    <w:rsid w:val="000E231E"/>
    <w:rsid w:val="000E64BD"/>
    <w:rsid w:val="000E730C"/>
    <w:rsid w:val="000F2EE4"/>
    <w:rsid w:val="000F4CEA"/>
    <w:rsid w:val="000F792A"/>
    <w:rsid w:val="00104CBA"/>
    <w:rsid w:val="00105C0B"/>
    <w:rsid w:val="00107D29"/>
    <w:rsid w:val="00110B1B"/>
    <w:rsid w:val="001124E8"/>
    <w:rsid w:val="0012029B"/>
    <w:rsid w:val="00123CBC"/>
    <w:rsid w:val="00124937"/>
    <w:rsid w:val="001255F3"/>
    <w:rsid w:val="00131700"/>
    <w:rsid w:val="00140234"/>
    <w:rsid w:val="001407AA"/>
    <w:rsid w:val="00142F65"/>
    <w:rsid w:val="001504DE"/>
    <w:rsid w:val="00150595"/>
    <w:rsid w:val="00150746"/>
    <w:rsid w:val="001533C7"/>
    <w:rsid w:val="00156D13"/>
    <w:rsid w:val="0016608B"/>
    <w:rsid w:val="00166EA9"/>
    <w:rsid w:val="001706C5"/>
    <w:rsid w:val="00174F4A"/>
    <w:rsid w:val="001818F7"/>
    <w:rsid w:val="00183692"/>
    <w:rsid w:val="00183715"/>
    <w:rsid w:val="0018385F"/>
    <w:rsid w:val="00190812"/>
    <w:rsid w:val="00190DD5"/>
    <w:rsid w:val="00195679"/>
    <w:rsid w:val="00197463"/>
    <w:rsid w:val="001A14AE"/>
    <w:rsid w:val="001A440C"/>
    <w:rsid w:val="001A6A37"/>
    <w:rsid w:val="001A7CC7"/>
    <w:rsid w:val="001B54FB"/>
    <w:rsid w:val="001B5583"/>
    <w:rsid w:val="001C2A38"/>
    <w:rsid w:val="001D1C24"/>
    <w:rsid w:val="001D50DE"/>
    <w:rsid w:val="001D58A8"/>
    <w:rsid w:val="001E6FCD"/>
    <w:rsid w:val="001E73DD"/>
    <w:rsid w:val="001F1174"/>
    <w:rsid w:val="001F174F"/>
    <w:rsid w:val="001F4170"/>
    <w:rsid w:val="00204C49"/>
    <w:rsid w:val="00205843"/>
    <w:rsid w:val="00211641"/>
    <w:rsid w:val="0021254A"/>
    <w:rsid w:val="00214EFE"/>
    <w:rsid w:val="002153C7"/>
    <w:rsid w:val="00216C79"/>
    <w:rsid w:val="00217F65"/>
    <w:rsid w:val="00223C70"/>
    <w:rsid w:val="00224081"/>
    <w:rsid w:val="00235042"/>
    <w:rsid w:val="00242357"/>
    <w:rsid w:val="0024492B"/>
    <w:rsid w:val="00245A6A"/>
    <w:rsid w:val="00247CBA"/>
    <w:rsid w:val="00250533"/>
    <w:rsid w:val="002506A8"/>
    <w:rsid w:val="002557F4"/>
    <w:rsid w:val="00272505"/>
    <w:rsid w:val="002752DD"/>
    <w:rsid w:val="002868A1"/>
    <w:rsid w:val="0029444E"/>
    <w:rsid w:val="002A3E0C"/>
    <w:rsid w:val="002A54B3"/>
    <w:rsid w:val="002A772C"/>
    <w:rsid w:val="002B3C0C"/>
    <w:rsid w:val="002B6544"/>
    <w:rsid w:val="002C1A8E"/>
    <w:rsid w:val="002C3454"/>
    <w:rsid w:val="002C6D54"/>
    <w:rsid w:val="002D3E0F"/>
    <w:rsid w:val="002D639D"/>
    <w:rsid w:val="002E07A2"/>
    <w:rsid w:val="002E3916"/>
    <w:rsid w:val="002E3A2D"/>
    <w:rsid w:val="002E4DCA"/>
    <w:rsid w:val="002E53C0"/>
    <w:rsid w:val="002E5A53"/>
    <w:rsid w:val="002F2AE8"/>
    <w:rsid w:val="00310EE7"/>
    <w:rsid w:val="00310FF4"/>
    <w:rsid w:val="00312173"/>
    <w:rsid w:val="0031264F"/>
    <w:rsid w:val="003162E6"/>
    <w:rsid w:val="003209CF"/>
    <w:rsid w:val="0032664E"/>
    <w:rsid w:val="00327BED"/>
    <w:rsid w:val="00330ACC"/>
    <w:rsid w:val="003314A6"/>
    <w:rsid w:val="0033533E"/>
    <w:rsid w:val="00335CBA"/>
    <w:rsid w:val="00335DF2"/>
    <w:rsid w:val="00342439"/>
    <w:rsid w:val="00343754"/>
    <w:rsid w:val="003438EA"/>
    <w:rsid w:val="00355DAD"/>
    <w:rsid w:val="00361A2B"/>
    <w:rsid w:val="00364C8A"/>
    <w:rsid w:val="00371E60"/>
    <w:rsid w:val="00374D5B"/>
    <w:rsid w:val="003760F7"/>
    <w:rsid w:val="0037650B"/>
    <w:rsid w:val="00381CA7"/>
    <w:rsid w:val="00393B8E"/>
    <w:rsid w:val="00393D29"/>
    <w:rsid w:val="00395968"/>
    <w:rsid w:val="00396CF5"/>
    <w:rsid w:val="003A0E6E"/>
    <w:rsid w:val="003A4593"/>
    <w:rsid w:val="003A4D40"/>
    <w:rsid w:val="003A6578"/>
    <w:rsid w:val="003B3904"/>
    <w:rsid w:val="003B5014"/>
    <w:rsid w:val="003B6205"/>
    <w:rsid w:val="003C11B9"/>
    <w:rsid w:val="003C4435"/>
    <w:rsid w:val="003C67BA"/>
    <w:rsid w:val="003D1E67"/>
    <w:rsid w:val="003D1F50"/>
    <w:rsid w:val="003D29AE"/>
    <w:rsid w:val="003D5487"/>
    <w:rsid w:val="003E1486"/>
    <w:rsid w:val="003E464F"/>
    <w:rsid w:val="003E5BCB"/>
    <w:rsid w:val="004030B3"/>
    <w:rsid w:val="00403538"/>
    <w:rsid w:val="00414AB2"/>
    <w:rsid w:val="00415948"/>
    <w:rsid w:val="004172D6"/>
    <w:rsid w:val="00421AF6"/>
    <w:rsid w:val="004237D7"/>
    <w:rsid w:val="0042399B"/>
    <w:rsid w:val="004247F4"/>
    <w:rsid w:val="004257B9"/>
    <w:rsid w:val="0043501C"/>
    <w:rsid w:val="0043641F"/>
    <w:rsid w:val="00440D6D"/>
    <w:rsid w:val="004446A1"/>
    <w:rsid w:val="0044627A"/>
    <w:rsid w:val="00447A76"/>
    <w:rsid w:val="00457883"/>
    <w:rsid w:val="0046009B"/>
    <w:rsid w:val="00462EC2"/>
    <w:rsid w:val="00463FB4"/>
    <w:rsid w:val="00464514"/>
    <w:rsid w:val="004652FA"/>
    <w:rsid w:val="004736FC"/>
    <w:rsid w:val="00475415"/>
    <w:rsid w:val="004755B3"/>
    <w:rsid w:val="00482AAF"/>
    <w:rsid w:val="004878AD"/>
    <w:rsid w:val="00491589"/>
    <w:rsid w:val="00491DD7"/>
    <w:rsid w:val="00491FB4"/>
    <w:rsid w:val="00492286"/>
    <w:rsid w:val="00492635"/>
    <w:rsid w:val="004955B8"/>
    <w:rsid w:val="00497913"/>
    <w:rsid w:val="004A1295"/>
    <w:rsid w:val="004A311B"/>
    <w:rsid w:val="004A3C34"/>
    <w:rsid w:val="004A6C15"/>
    <w:rsid w:val="004A7874"/>
    <w:rsid w:val="004B00B2"/>
    <w:rsid w:val="004B141D"/>
    <w:rsid w:val="004B5A46"/>
    <w:rsid w:val="004B6543"/>
    <w:rsid w:val="004C2C57"/>
    <w:rsid w:val="004C574E"/>
    <w:rsid w:val="004C6B83"/>
    <w:rsid w:val="004D1DF6"/>
    <w:rsid w:val="004D1FD7"/>
    <w:rsid w:val="004D27E4"/>
    <w:rsid w:val="004D29AB"/>
    <w:rsid w:val="004D4316"/>
    <w:rsid w:val="004E0FE0"/>
    <w:rsid w:val="004E62AA"/>
    <w:rsid w:val="004F131F"/>
    <w:rsid w:val="004F2AF5"/>
    <w:rsid w:val="004F2C03"/>
    <w:rsid w:val="004F7A40"/>
    <w:rsid w:val="00501B35"/>
    <w:rsid w:val="00504770"/>
    <w:rsid w:val="005056A0"/>
    <w:rsid w:val="00507373"/>
    <w:rsid w:val="00512066"/>
    <w:rsid w:val="005140F7"/>
    <w:rsid w:val="0052250E"/>
    <w:rsid w:val="005274B1"/>
    <w:rsid w:val="00533DC9"/>
    <w:rsid w:val="00540768"/>
    <w:rsid w:val="005432E2"/>
    <w:rsid w:val="00543976"/>
    <w:rsid w:val="00546676"/>
    <w:rsid w:val="00555016"/>
    <w:rsid w:val="00557899"/>
    <w:rsid w:val="005658E2"/>
    <w:rsid w:val="0057125A"/>
    <w:rsid w:val="00573981"/>
    <w:rsid w:val="00577FF6"/>
    <w:rsid w:val="00581354"/>
    <w:rsid w:val="00581FB0"/>
    <w:rsid w:val="00593830"/>
    <w:rsid w:val="005948D5"/>
    <w:rsid w:val="0059717E"/>
    <w:rsid w:val="005A05AB"/>
    <w:rsid w:val="005A485F"/>
    <w:rsid w:val="005B086C"/>
    <w:rsid w:val="005C07A9"/>
    <w:rsid w:val="005C0BD8"/>
    <w:rsid w:val="005C2456"/>
    <w:rsid w:val="005C578A"/>
    <w:rsid w:val="005D4DB8"/>
    <w:rsid w:val="005D6CBC"/>
    <w:rsid w:val="005F1814"/>
    <w:rsid w:val="005F1F6F"/>
    <w:rsid w:val="005F26B7"/>
    <w:rsid w:val="005F66C8"/>
    <w:rsid w:val="005F781D"/>
    <w:rsid w:val="00601A78"/>
    <w:rsid w:val="00603E2A"/>
    <w:rsid w:val="006122C2"/>
    <w:rsid w:val="00614BBB"/>
    <w:rsid w:val="00614F7A"/>
    <w:rsid w:val="00615688"/>
    <w:rsid w:val="00621785"/>
    <w:rsid w:val="00624FE8"/>
    <w:rsid w:val="0063075D"/>
    <w:rsid w:val="0063120D"/>
    <w:rsid w:val="006347BC"/>
    <w:rsid w:val="006366BA"/>
    <w:rsid w:val="00641E60"/>
    <w:rsid w:val="00650F7C"/>
    <w:rsid w:val="0065146D"/>
    <w:rsid w:val="0065444E"/>
    <w:rsid w:val="006545CE"/>
    <w:rsid w:val="006547FF"/>
    <w:rsid w:val="00662FFD"/>
    <w:rsid w:val="00664305"/>
    <w:rsid w:val="006654C4"/>
    <w:rsid w:val="006661BE"/>
    <w:rsid w:val="00671011"/>
    <w:rsid w:val="00673C7D"/>
    <w:rsid w:val="00674F22"/>
    <w:rsid w:val="006765F3"/>
    <w:rsid w:val="00680576"/>
    <w:rsid w:val="006814D4"/>
    <w:rsid w:val="00681F70"/>
    <w:rsid w:val="00683CDD"/>
    <w:rsid w:val="00685A45"/>
    <w:rsid w:val="006A0927"/>
    <w:rsid w:val="006A763E"/>
    <w:rsid w:val="006B5629"/>
    <w:rsid w:val="006B66C4"/>
    <w:rsid w:val="006B6C8B"/>
    <w:rsid w:val="006C037B"/>
    <w:rsid w:val="006D5CF6"/>
    <w:rsid w:val="006D64AA"/>
    <w:rsid w:val="006D74B1"/>
    <w:rsid w:val="006E1326"/>
    <w:rsid w:val="006E1561"/>
    <w:rsid w:val="006E1611"/>
    <w:rsid w:val="006E5DCF"/>
    <w:rsid w:val="006F2356"/>
    <w:rsid w:val="006F39E9"/>
    <w:rsid w:val="006F410D"/>
    <w:rsid w:val="006F69C2"/>
    <w:rsid w:val="007032A4"/>
    <w:rsid w:val="00704611"/>
    <w:rsid w:val="0070470E"/>
    <w:rsid w:val="007110D0"/>
    <w:rsid w:val="00711227"/>
    <w:rsid w:val="00711FA4"/>
    <w:rsid w:val="00714BE5"/>
    <w:rsid w:val="007205CE"/>
    <w:rsid w:val="00724CA5"/>
    <w:rsid w:val="0072576F"/>
    <w:rsid w:val="00726399"/>
    <w:rsid w:val="00730469"/>
    <w:rsid w:val="0073523F"/>
    <w:rsid w:val="0073737B"/>
    <w:rsid w:val="0074168B"/>
    <w:rsid w:val="00742572"/>
    <w:rsid w:val="007450AB"/>
    <w:rsid w:val="00746102"/>
    <w:rsid w:val="00750D64"/>
    <w:rsid w:val="007524D7"/>
    <w:rsid w:val="00756A99"/>
    <w:rsid w:val="00756F40"/>
    <w:rsid w:val="00761122"/>
    <w:rsid w:val="00761EB0"/>
    <w:rsid w:val="00765264"/>
    <w:rsid w:val="0076692F"/>
    <w:rsid w:val="00767CE2"/>
    <w:rsid w:val="00770A45"/>
    <w:rsid w:val="00770AC6"/>
    <w:rsid w:val="007726F5"/>
    <w:rsid w:val="0077309D"/>
    <w:rsid w:val="007742BD"/>
    <w:rsid w:val="0077496A"/>
    <w:rsid w:val="007756DD"/>
    <w:rsid w:val="00782510"/>
    <w:rsid w:val="00784F1F"/>
    <w:rsid w:val="00791569"/>
    <w:rsid w:val="00792C9C"/>
    <w:rsid w:val="00794AEB"/>
    <w:rsid w:val="007A5CAE"/>
    <w:rsid w:val="007B2880"/>
    <w:rsid w:val="007B315A"/>
    <w:rsid w:val="007B6CA2"/>
    <w:rsid w:val="007B6EE5"/>
    <w:rsid w:val="007C3C4C"/>
    <w:rsid w:val="007C4C62"/>
    <w:rsid w:val="007C72F8"/>
    <w:rsid w:val="007D5302"/>
    <w:rsid w:val="007E0EE0"/>
    <w:rsid w:val="007E3169"/>
    <w:rsid w:val="007F5C2D"/>
    <w:rsid w:val="00803715"/>
    <w:rsid w:val="00805AE3"/>
    <w:rsid w:val="00815A2C"/>
    <w:rsid w:val="00817E5D"/>
    <w:rsid w:val="008223B5"/>
    <w:rsid w:val="00822A23"/>
    <w:rsid w:val="0082465D"/>
    <w:rsid w:val="008273E9"/>
    <w:rsid w:val="008274C0"/>
    <w:rsid w:val="00830021"/>
    <w:rsid w:val="00835281"/>
    <w:rsid w:val="00840589"/>
    <w:rsid w:val="008406E4"/>
    <w:rsid w:val="00840E46"/>
    <w:rsid w:val="00847149"/>
    <w:rsid w:val="00851D7A"/>
    <w:rsid w:val="008530DA"/>
    <w:rsid w:val="00856D31"/>
    <w:rsid w:val="008621FC"/>
    <w:rsid w:val="00866068"/>
    <w:rsid w:val="00866FA4"/>
    <w:rsid w:val="00867276"/>
    <w:rsid w:val="008676A2"/>
    <w:rsid w:val="0087142C"/>
    <w:rsid w:val="0087247F"/>
    <w:rsid w:val="00873A4B"/>
    <w:rsid w:val="008762BE"/>
    <w:rsid w:val="00882E8D"/>
    <w:rsid w:val="00887D17"/>
    <w:rsid w:val="008A746D"/>
    <w:rsid w:val="008B3238"/>
    <w:rsid w:val="008B3B11"/>
    <w:rsid w:val="008B6DB2"/>
    <w:rsid w:val="008C1490"/>
    <w:rsid w:val="008C2BFB"/>
    <w:rsid w:val="008C367A"/>
    <w:rsid w:val="008C77C0"/>
    <w:rsid w:val="008D7BDF"/>
    <w:rsid w:val="008D7FD3"/>
    <w:rsid w:val="008E192F"/>
    <w:rsid w:val="008E44B0"/>
    <w:rsid w:val="008E79A4"/>
    <w:rsid w:val="008F3FC8"/>
    <w:rsid w:val="00901DFC"/>
    <w:rsid w:val="00903DE2"/>
    <w:rsid w:val="0090555D"/>
    <w:rsid w:val="00906CBD"/>
    <w:rsid w:val="00912A33"/>
    <w:rsid w:val="00913268"/>
    <w:rsid w:val="00914217"/>
    <w:rsid w:val="009145CE"/>
    <w:rsid w:val="00917C97"/>
    <w:rsid w:val="00922C2F"/>
    <w:rsid w:val="009304A5"/>
    <w:rsid w:val="009327E5"/>
    <w:rsid w:val="00932E09"/>
    <w:rsid w:val="0094375D"/>
    <w:rsid w:val="00944A28"/>
    <w:rsid w:val="00954B77"/>
    <w:rsid w:val="00966A40"/>
    <w:rsid w:val="00967B70"/>
    <w:rsid w:val="009710B4"/>
    <w:rsid w:val="009732F8"/>
    <w:rsid w:val="00973FED"/>
    <w:rsid w:val="00981444"/>
    <w:rsid w:val="00983132"/>
    <w:rsid w:val="009910A7"/>
    <w:rsid w:val="00994605"/>
    <w:rsid w:val="00996AAF"/>
    <w:rsid w:val="009A39CC"/>
    <w:rsid w:val="009A4735"/>
    <w:rsid w:val="009C08EF"/>
    <w:rsid w:val="009C7363"/>
    <w:rsid w:val="009C74DE"/>
    <w:rsid w:val="009C77AF"/>
    <w:rsid w:val="009D0D62"/>
    <w:rsid w:val="009D6E04"/>
    <w:rsid w:val="009D7A03"/>
    <w:rsid w:val="009E1EDF"/>
    <w:rsid w:val="009F05D5"/>
    <w:rsid w:val="009F2629"/>
    <w:rsid w:val="009F6C0B"/>
    <w:rsid w:val="009F792B"/>
    <w:rsid w:val="00A003BD"/>
    <w:rsid w:val="00A022FD"/>
    <w:rsid w:val="00A04FB9"/>
    <w:rsid w:val="00A06182"/>
    <w:rsid w:val="00A07192"/>
    <w:rsid w:val="00A11387"/>
    <w:rsid w:val="00A1421E"/>
    <w:rsid w:val="00A263DC"/>
    <w:rsid w:val="00A37843"/>
    <w:rsid w:val="00A424F9"/>
    <w:rsid w:val="00A4366C"/>
    <w:rsid w:val="00A44D7D"/>
    <w:rsid w:val="00A45115"/>
    <w:rsid w:val="00A46B60"/>
    <w:rsid w:val="00A521DF"/>
    <w:rsid w:val="00A5631F"/>
    <w:rsid w:val="00A57C24"/>
    <w:rsid w:val="00A60772"/>
    <w:rsid w:val="00A6266C"/>
    <w:rsid w:val="00A63BF2"/>
    <w:rsid w:val="00A6615A"/>
    <w:rsid w:val="00A66CE6"/>
    <w:rsid w:val="00A713A4"/>
    <w:rsid w:val="00A734E6"/>
    <w:rsid w:val="00A751D7"/>
    <w:rsid w:val="00A84F50"/>
    <w:rsid w:val="00A9411C"/>
    <w:rsid w:val="00A963FA"/>
    <w:rsid w:val="00AA2880"/>
    <w:rsid w:val="00AA5A57"/>
    <w:rsid w:val="00AA69B4"/>
    <w:rsid w:val="00AA76EF"/>
    <w:rsid w:val="00AB3852"/>
    <w:rsid w:val="00AC28F8"/>
    <w:rsid w:val="00AE3B2E"/>
    <w:rsid w:val="00AF1B4D"/>
    <w:rsid w:val="00AF77CE"/>
    <w:rsid w:val="00B02841"/>
    <w:rsid w:val="00B028E4"/>
    <w:rsid w:val="00B11A68"/>
    <w:rsid w:val="00B24279"/>
    <w:rsid w:val="00B24997"/>
    <w:rsid w:val="00B26240"/>
    <w:rsid w:val="00B262C0"/>
    <w:rsid w:val="00B2653C"/>
    <w:rsid w:val="00B2763A"/>
    <w:rsid w:val="00B278DB"/>
    <w:rsid w:val="00B33520"/>
    <w:rsid w:val="00B3682B"/>
    <w:rsid w:val="00B43666"/>
    <w:rsid w:val="00B463BD"/>
    <w:rsid w:val="00B52C60"/>
    <w:rsid w:val="00B56317"/>
    <w:rsid w:val="00B64181"/>
    <w:rsid w:val="00B660C6"/>
    <w:rsid w:val="00B66B20"/>
    <w:rsid w:val="00B674A5"/>
    <w:rsid w:val="00B7053F"/>
    <w:rsid w:val="00B817C1"/>
    <w:rsid w:val="00B81831"/>
    <w:rsid w:val="00B83ADA"/>
    <w:rsid w:val="00B8501B"/>
    <w:rsid w:val="00B8754C"/>
    <w:rsid w:val="00B91325"/>
    <w:rsid w:val="00B94F24"/>
    <w:rsid w:val="00B9545B"/>
    <w:rsid w:val="00B9636C"/>
    <w:rsid w:val="00BA3B5B"/>
    <w:rsid w:val="00BA4244"/>
    <w:rsid w:val="00BA767B"/>
    <w:rsid w:val="00BB17BE"/>
    <w:rsid w:val="00BB4BA5"/>
    <w:rsid w:val="00BC02BD"/>
    <w:rsid w:val="00BE0252"/>
    <w:rsid w:val="00BE6440"/>
    <w:rsid w:val="00BE7558"/>
    <w:rsid w:val="00BF5E70"/>
    <w:rsid w:val="00C0130A"/>
    <w:rsid w:val="00C0367C"/>
    <w:rsid w:val="00C04C7E"/>
    <w:rsid w:val="00C07089"/>
    <w:rsid w:val="00C1189D"/>
    <w:rsid w:val="00C12546"/>
    <w:rsid w:val="00C15803"/>
    <w:rsid w:val="00C22A06"/>
    <w:rsid w:val="00C264B8"/>
    <w:rsid w:val="00C306D8"/>
    <w:rsid w:val="00C321F6"/>
    <w:rsid w:val="00C35698"/>
    <w:rsid w:val="00C36009"/>
    <w:rsid w:val="00C37782"/>
    <w:rsid w:val="00C41705"/>
    <w:rsid w:val="00C46B3E"/>
    <w:rsid w:val="00C47509"/>
    <w:rsid w:val="00C50713"/>
    <w:rsid w:val="00C56833"/>
    <w:rsid w:val="00C57918"/>
    <w:rsid w:val="00C6076A"/>
    <w:rsid w:val="00C621BA"/>
    <w:rsid w:val="00C63172"/>
    <w:rsid w:val="00C63C0A"/>
    <w:rsid w:val="00C7056D"/>
    <w:rsid w:val="00C75885"/>
    <w:rsid w:val="00C775F1"/>
    <w:rsid w:val="00C80267"/>
    <w:rsid w:val="00C81734"/>
    <w:rsid w:val="00C82748"/>
    <w:rsid w:val="00C83A59"/>
    <w:rsid w:val="00C85776"/>
    <w:rsid w:val="00C916F4"/>
    <w:rsid w:val="00C92D4E"/>
    <w:rsid w:val="00CA2285"/>
    <w:rsid w:val="00CA2BE3"/>
    <w:rsid w:val="00CA4DA4"/>
    <w:rsid w:val="00CB5A47"/>
    <w:rsid w:val="00CB6EC8"/>
    <w:rsid w:val="00CC40CE"/>
    <w:rsid w:val="00CC4609"/>
    <w:rsid w:val="00CD1FA6"/>
    <w:rsid w:val="00CD2566"/>
    <w:rsid w:val="00CD3D4C"/>
    <w:rsid w:val="00CD42E9"/>
    <w:rsid w:val="00CE1217"/>
    <w:rsid w:val="00CE13FF"/>
    <w:rsid w:val="00CE1A06"/>
    <w:rsid w:val="00CE1F75"/>
    <w:rsid w:val="00D04CE7"/>
    <w:rsid w:val="00D05A34"/>
    <w:rsid w:val="00D10AC0"/>
    <w:rsid w:val="00D25142"/>
    <w:rsid w:val="00D35C7F"/>
    <w:rsid w:val="00D36491"/>
    <w:rsid w:val="00D36A45"/>
    <w:rsid w:val="00D40D85"/>
    <w:rsid w:val="00D4537D"/>
    <w:rsid w:val="00D45BFB"/>
    <w:rsid w:val="00D46E2D"/>
    <w:rsid w:val="00D514CF"/>
    <w:rsid w:val="00D51A5A"/>
    <w:rsid w:val="00D63271"/>
    <w:rsid w:val="00D644C3"/>
    <w:rsid w:val="00D85B7D"/>
    <w:rsid w:val="00D92883"/>
    <w:rsid w:val="00D94296"/>
    <w:rsid w:val="00D97F4E"/>
    <w:rsid w:val="00DA1A9C"/>
    <w:rsid w:val="00DA2A1C"/>
    <w:rsid w:val="00DA68DC"/>
    <w:rsid w:val="00DB2D68"/>
    <w:rsid w:val="00DC2F88"/>
    <w:rsid w:val="00DC5E3F"/>
    <w:rsid w:val="00DC73CD"/>
    <w:rsid w:val="00DD2BC7"/>
    <w:rsid w:val="00DE2664"/>
    <w:rsid w:val="00DE320C"/>
    <w:rsid w:val="00DE3355"/>
    <w:rsid w:val="00DE39F1"/>
    <w:rsid w:val="00DE5876"/>
    <w:rsid w:val="00DE5D87"/>
    <w:rsid w:val="00DF1105"/>
    <w:rsid w:val="00DF3560"/>
    <w:rsid w:val="00DF39A2"/>
    <w:rsid w:val="00DF5779"/>
    <w:rsid w:val="00DF724D"/>
    <w:rsid w:val="00DF760A"/>
    <w:rsid w:val="00E010DB"/>
    <w:rsid w:val="00E0154B"/>
    <w:rsid w:val="00E017F8"/>
    <w:rsid w:val="00E05254"/>
    <w:rsid w:val="00E077A4"/>
    <w:rsid w:val="00E139EB"/>
    <w:rsid w:val="00E17382"/>
    <w:rsid w:val="00E17425"/>
    <w:rsid w:val="00E20D16"/>
    <w:rsid w:val="00E26450"/>
    <w:rsid w:val="00E26560"/>
    <w:rsid w:val="00E26A94"/>
    <w:rsid w:val="00E26C27"/>
    <w:rsid w:val="00E26F96"/>
    <w:rsid w:val="00E31840"/>
    <w:rsid w:val="00E31B08"/>
    <w:rsid w:val="00E331B0"/>
    <w:rsid w:val="00E345D8"/>
    <w:rsid w:val="00E40E17"/>
    <w:rsid w:val="00E51950"/>
    <w:rsid w:val="00E55490"/>
    <w:rsid w:val="00E55E99"/>
    <w:rsid w:val="00E60EA6"/>
    <w:rsid w:val="00E62255"/>
    <w:rsid w:val="00E6575C"/>
    <w:rsid w:val="00E66E09"/>
    <w:rsid w:val="00E71F13"/>
    <w:rsid w:val="00E77A95"/>
    <w:rsid w:val="00E828E5"/>
    <w:rsid w:val="00E939F1"/>
    <w:rsid w:val="00E94EA1"/>
    <w:rsid w:val="00E95EF7"/>
    <w:rsid w:val="00E96653"/>
    <w:rsid w:val="00E97A22"/>
    <w:rsid w:val="00EA0EA5"/>
    <w:rsid w:val="00EB3792"/>
    <w:rsid w:val="00EB57C9"/>
    <w:rsid w:val="00EB5B18"/>
    <w:rsid w:val="00EC0D5F"/>
    <w:rsid w:val="00EC18DD"/>
    <w:rsid w:val="00EC7C73"/>
    <w:rsid w:val="00ED5D54"/>
    <w:rsid w:val="00ED64CA"/>
    <w:rsid w:val="00ED689D"/>
    <w:rsid w:val="00ED7BC9"/>
    <w:rsid w:val="00EE2E1C"/>
    <w:rsid w:val="00EE5AA4"/>
    <w:rsid w:val="00EE627D"/>
    <w:rsid w:val="00EE78F5"/>
    <w:rsid w:val="00EF1C00"/>
    <w:rsid w:val="00EF262B"/>
    <w:rsid w:val="00EF3083"/>
    <w:rsid w:val="00EF565A"/>
    <w:rsid w:val="00EF6046"/>
    <w:rsid w:val="00EF653F"/>
    <w:rsid w:val="00EF6765"/>
    <w:rsid w:val="00F054D1"/>
    <w:rsid w:val="00F10DC6"/>
    <w:rsid w:val="00F131A8"/>
    <w:rsid w:val="00F135AA"/>
    <w:rsid w:val="00F14AB8"/>
    <w:rsid w:val="00F1505B"/>
    <w:rsid w:val="00F15792"/>
    <w:rsid w:val="00F15F70"/>
    <w:rsid w:val="00F16B5F"/>
    <w:rsid w:val="00F2063E"/>
    <w:rsid w:val="00F2351F"/>
    <w:rsid w:val="00F3553D"/>
    <w:rsid w:val="00F35D05"/>
    <w:rsid w:val="00F412A1"/>
    <w:rsid w:val="00F507AF"/>
    <w:rsid w:val="00F51860"/>
    <w:rsid w:val="00F53208"/>
    <w:rsid w:val="00F54FBB"/>
    <w:rsid w:val="00F55F90"/>
    <w:rsid w:val="00F57BC6"/>
    <w:rsid w:val="00F60B27"/>
    <w:rsid w:val="00F61D2E"/>
    <w:rsid w:val="00F6330E"/>
    <w:rsid w:val="00F6526B"/>
    <w:rsid w:val="00F6754B"/>
    <w:rsid w:val="00F70CFF"/>
    <w:rsid w:val="00F72E2B"/>
    <w:rsid w:val="00F86808"/>
    <w:rsid w:val="00F9774F"/>
    <w:rsid w:val="00FA040E"/>
    <w:rsid w:val="00FA1401"/>
    <w:rsid w:val="00FA270B"/>
    <w:rsid w:val="00FA3529"/>
    <w:rsid w:val="00FB4144"/>
    <w:rsid w:val="00FB7344"/>
    <w:rsid w:val="00FC03C5"/>
    <w:rsid w:val="00FC5EA9"/>
    <w:rsid w:val="00FD05A5"/>
    <w:rsid w:val="00FD0F1A"/>
    <w:rsid w:val="00FD0F9A"/>
    <w:rsid w:val="00FD41EA"/>
    <w:rsid w:val="00FD68D0"/>
    <w:rsid w:val="00FE01B1"/>
    <w:rsid w:val="00FF0614"/>
    <w:rsid w:val="00FF24C4"/>
    <w:rsid w:val="00F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2592"/>
  <w15:docId w15:val="{A0F3EA7A-8427-4143-B704-A55A7459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LASP List Paragraph"/>
    <w:basedOn w:val="Normal"/>
    <w:uiPriority w:val="34"/>
    <w:qFormat/>
    <w:rsid w:val="00E828E5"/>
    <w:pPr>
      <w:ind w:left="720"/>
      <w:contextualSpacing/>
    </w:pPr>
  </w:style>
  <w:style w:type="table" w:styleId="TableGrid">
    <w:name w:val="Table Grid"/>
    <w:basedOn w:val="TableNormal"/>
    <w:rsid w:val="000B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240"/>
  </w:style>
  <w:style w:type="paragraph" w:styleId="Footer">
    <w:name w:val="footer"/>
    <w:basedOn w:val="Normal"/>
    <w:link w:val="FooterChar"/>
    <w:uiPriority w:val="99"/>
    <w:unhideWhenUsed/>
    <w:rsid w:val="00B26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240"/>
  </w:style>
  <w:style w:type="paragraph" w:styleId="BalloonText">
    <w:name w:val="Balloon Text"/>
    <w:basedOn w:val="Normal"/>
    <w:link w:val="BalloonTextChar"/>
    <w:uiPriority w:val="99"/>
    <w:semiHidden/>
    <w:unhideWhenUsed/>
    <w:rsid w:val="00B26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40"/>
    <w:rPr>
      <w:rFonts w:ascii="Tahoma" w:hAnsi="Tahoma" w:cs="Tahoma"/>
      <w:sz w:val="16"/>
      <w:szCs w:val="16"/>
    </w:rPr>
  </w:style>
  <w:style w:type="character" w:styleId="CommentReference">
    <w:name w:val="annotation reference"/>
    <w:basedOn w:val="DefaultParagraphFont"/>
    <w:uiPriority w:val="99"/>
    <w:semiHidden/>
    <w:unhideWhenUsed/>
    <w:rsid w:val="004D1DF6"/>
    <w:rPr>
      <w:sz w:val="16"/>
      <w:szCs w:val="16"/>
    </w:rPr>
  </w:style>
  <w:style w:type="paragraph" w:styleId="CommentText">
    <w:name w:val="annotation text"/>
    <w:basedOn w:val="Normal"/>
    <w:link w:val="CommentTextChar"/>
    <w:uiPriority w:val="99"/>
    <w:semiHidden/>
    <w:unhideWhenUsed/>
    <w:rsid w:val="004D1DF6"/>
    <w:pPr>
      <w:spacing w:line="240" w:lineRule="auto"/>
    </w:pPr>
    <w:rPr>
      <w:sz w:val="20"/>
      <w:szCs w:val="20"/>
    </w:rPr>
  </w:style>
  <w:style w:type="character" w:customStyle="1" w:styleId="CommentTextChar">
    <w:name w:val="Comment Text Char"/>
    <w:basedOn w:val="DefaultParagraphFont"/>
    <w:link w:val="CommentText"/>
    <w:uiPriority w:val="99"/>
    <w:semiHidden/>
    <w:rsid w:val="004D1DF6"/>
    <w:rPr>
      <w:sz w:val="20"/>
      <w:szCs w:val="20"/>
    </w:rPr>
  </w:style>
  <w:style w:type="paragraph" w:styleId="CommentSubject">
    <w:name w:val="annotation subject"/>
    <w:basedOn w:val="CommentText"/>
    <w:next w:val="CommentText"/>
    <w:link w:val="CommentSubjectChar"/>
    <w:uiPriority w:val="99"/>
    <w:semiHidden/>
    <w:unhideWhenUsed/>
    <w:rsid w:val="008273E9"/>
    <w:rPr>
      <w:b/>
      <w:bCs/>
    </w:rPr>
  </w:style>
  <w:style w:type="character" w:customStyle="1" w:styleId="CommentSubjectChar">
    <w:name w:val="Comment Subject Char"/>
    <w:basedOn w:val="CommentTextChar"/>
    <w:link w:val="CommentSubject"/>
    <w:uiPriority w:val="99"/>
    <w:semiHidden/>
    <w:rsid w:val="008273E9"/>
    <w:rPr>
      <w:b/>
      <w:bCs/>
      <w:sz w:val="20"/>
      <w:szCs w:val="20"/>
    </w:rPr>
  </w:style>
  <w:style w:type="character" w:styleId="Hyperlink">
    <w:name w:val="Hyperlink"/>
    <w:basedOn w:val="DefaultParagraphFont"/>
    <w:uiPriority w:val="99"/>
    <w:unhideWhenUsed/>
    <w:rsid w:val="00457883"/>
    <w:rPr>
      <w:rFonts w:cs="Times New Roman"/>
      <w:color w:val="0000FF"/>
      <w:u w:val="single"/>
    </w:rPr>
  </w:style>
  <w:style w:type="character" w:customStyle="1" w:styleId="NewText">
    <w:name w:val="New Text"/>
    <w:hidden/>
    <w:rsid w:val="000170FC"/>
    <w:rPr>
      <w:rFonts w:cs="Times New Roman"/>
      <w:b/>
      <w:i/>
      <w:szCs w:val="24"/>
      <w:u w:val="single"/>
    </w:rPr>
  </w:style>
  <w:style w:type="character" w:styleId="FollowedHyperlink">
    <w:name w:val="FollowedHyperlink"/>
    <w:basedOn w:val="DefaultParagraphFont"/>
    <w:uiPriority w:val="99"/>
    <w:semiHidden/>
    <w:unhideWhenUsed/>
    <w:rsid w:val="001A14AE"/>
    <w:rPr>
      <w:color w:val="800080" w:themeColor="followedHyperlink"/>
      <w:u w:val="single"/>
    </w:rPr>
  </w:style>
  <w:style w:type="paragraph" w:styleId="FootnoteText">
    <w:name w:val="footnote text"/>
    <w:basedOn w:val="Normal"/>
    <w:link w:val="FootnoteTextChar"/>
    <w:uiPriority w:val="99"/>
    <w:semiHidden/>
    <w:unhideWhenUsed/>
    <w:rsid w:val="00DA68DC"/>
    <w:pPr>
      <w:spacing w:after="0" w:line="240" w:lineRule="auto"/>
    </w:pPr>
    <w:rPr>
      <w:rFonts w:ascii="Calibri" w:eastAsiaTheme="minorEastAsia" w:hAnsi="Calibri" w:cs="Times New Roman"/>
      <w:sz w:val="20"/>
      <w:szCs w:val="20"/>
    </w:rPr>
  </w:style>
  <w:style w:type="character" w:customStyle="1" w:styleId="FootnoteTextChar">
    <w:name w:val="Footnote Text Char"/>
    <w:basedOn w:val="DefaultParagraphFont"/>
    <w:link w:val="FootnoteText"/>
    <w:uiPriority w:val="99"/>
    <w:semiHidden/>
    <w:rsid w:val="00DA68DC"/>
    <w:rPr>
      <w:rFonts w:ascii="Calibri" w:eastAsiaTheme="minorEastAsia" w:hAnsi="Calibri" w:cs="Times New Roman"/>
      <w:sz w:val="20"/>
      <w:szCs w:val="20"/>
    </w:rPr>
  </w:style>
  <w:style w:type="character" w:styleId="FootnoteReference">
    <w:name w:val="footnote reference"/>
    <w:basedOn w:val="DefaultParagraphFont"/>
    <w:uiPriority w:val="99"/>
    <w:semiHidden/>
    <w:unhideWhenUsed/>
    <w:rsid w:val="00DA68DC"/>
    <w:rPr>
      <w:vertAlign w:val="superscript"/>
    </w:rPr>
  </w:style>
  <w:style w:type="paragraph" w:styleId="Revision">
    <w:name w:val="Revision"/>
    <w:hidden/>
    <w:uiPriority w:val="99"/>
    <w:semiHidden/>
    <w:rsid w:val="00DE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05688">
      <w:bodyDiv w:val="1"/>
      <w:marLeft w:val="0"/>
      <w:marRight w:val="0"/>
      <w:marTop w:val="0"/>
      <w:marBottom w:val="0"/>
      <w:divBdr>
        <w:top w:val="none" w:sz="0" w:space="0" w:color="auto"/>
        <w:left w:val="none" w:sz="0" w:space="0" w:color="auto"/>
        <w:bottom w:val="none" w:sz="0" w:space="0" w:color="auto"/>
        <w:right w:val="none" w:sz="0" w:space="0" w:color="auto"/>
      </w:divBdr>
      <w:divsChild>
        <w:div w:id="1592423039">
          <w:marLeft w:val="547"/>
          <w:marRight w:val="0"/>
          <w:marTop w:val="0"/>
          <w:marBottom w:val="0"/>
          <w:divBdr>
            <w:top w:val="none" w:sz="0" w:space="0" w:color="auto"/>
            <w:left w:val="none" w:sz="0" w:space="0" w:color="auto"/>
            <w:bottom w:val="none" w:sz="0" w:space="0" w:color="auto"/>
            <w:right w:val="none" w:sz="0" w:space="0" w:color="auto"/>
          </w:divBdr>
        </w:div>
      </w:divsChild>
    </w:div>
    <w:div w:id="751514467">
      <w:bodyDiv w:val="1"/>
      <w:marLeft w:val="0"/>
      <w:marRight w:val="0"/>
      <w:marTop w:val="0"/>
      <w:marBottom w:val="0"/>
      <w:divBdr>
        <w:top w:val="none" w:sz="0" w:space="0" w:color="auto"/>
        <w:left w:val="none" w:sz="0" w:space="0" w:color="auto"/>
        <w:bottom w:val="none" w:sz="0" w:space="0" w:color="auto"/>
        <w:right w:val="none" w:sz="0" w:space="0" w:color="auto"/>
      </w:divBdr>
      <w:divsChild>
        <w:div w:id="478112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583">
      <w:bodyDiv w:val="1"/>
      <w:marLeft w:val="0"/>
      <w:marRight w:val="0"/>
      <w:marTop w:val="0"/>
      <w:marBottom w:val="0"/>
      <w:divBdr>
        <w:top w:val="none" w:sz="0" w:space="0" w:color="auto"/>
        <w:left w:val="none" w:sz="0" w:space="0" w:color="auto"/>
        <w:bottom w:val="none" w:sz="0" w:space="0" w:color="auto"/>
        <w:right w:val="none" w:sz="0" w:space="0" w:color="auto"/>
      </w:divBdr>
      <w:divsChild>
        <w:div w:id="1711222235">
          <w:marLeft w:val="547"/>
          <w:marRight w:val="0"/>
          <w:marTop w:val="0"/>
          <w:marBottom w:val="0"/>
          <w:divBdr>
            <w:top w:val="none" w:sz="0" w:space="0" w:color="auto"/>
            <w:left w:val="none" w:sz="0" w:space="0" w:color="auto"/>
            <w:bottom w:val="none" w:sz="0" w:space="0" w:color="auto"/>
            <w:right w:val="none" w:sz="0" w:space="0" w:color="auto"/>
          </w:divBdr>
        </w:div>
      </w:divsChild>
    </w:div>
    <w:div w:id="1295716404">
      <w:bodyDiv w:val="1"/>
      <w:marLeft w:val="0"/>
      <w:marRight w:val="0"/>
      <w:marTop w:val="0"/>
      <w:marBottom w:val="0"/>
      <w:divBdr>
        <w:top w:val="none" w:sz="0" w:space="0" w:color="auto"/>
        <w:left w:val="none" w:sz="0" w:space="0" w:color="auto"/>
        <w:bottom w:val="none" w:sz="0" w:space="0" w:color="auto"/>
        <w:right w:val="none" w:sz="0" w:space="0" w:color="auto"/>
      </w:divBdr>
    </w:div>
    <w:div w:id="1440027582">
      <w:bodyDiv w:val="1"/>
      <w:marLeft w:val="0"/>
      <w:marRight w:val="0"/>
      <w:marTop w:val="0"/>
      <w:marBottom w:val="0"/>
      <w:divBdr>
        <w:top w:val="none" w:sz="0" w:space="0" w:color="auto"/>
        <w:left w:val="none" w:sz="0" w:space="0" w:color="auto"/>
        <w:bottom w:val="none" w:sz="0" w:space="0" w:color="auto"/>
        <w:right w:val="none" w:sz="0" w:space="0" w:color="auto"/>
      </w:divBdr>
      <w:divsChild>
        <w:div w:id="1605261931">
          <w:marLeft w:val="547"/>
          <w:marRight w:val="0"/>
          <w:marTop w:val="0"/>
          <w:marBottom w:val="0"/>
          <w:divBdr>
            <w:top w:val="none" w:sz="0" w:space="0" w:color="auto"/>
            <w:left w:val="none" w:sz="0" w:space="0" w:color="auto"/>
            <w:bottom w:val="none" w:sz="0" w:space="0" w:color="auto"/>
            <w:right w:val="none" w:sz="0" w:space="0" w:color="auto"/>
          </w:divBdr>
        </w:div>
      </w:divsChild>
    </w:div>
    <w:div w:id="1516263831">
      <w:bodyDiv w:val="1"/>
      <w:marLeft w:val="0"/>
      <w:marRight w:val="0"/>
      <w:marTop w:val="0"/>
      <w:marBottom w:val="0"/>
      <w:divBdr>
        <w:top w:val="none" w:sz="0" w:space="0" w:color="auto"/>
        <w:left w:val="none" w:sz="0" w:space="0" w:color="auto"/>
        <w:bottom w:val="none" w:sz="0" w:space="0" w:color="auto"/>
        <w:right w:val="none" w:sz="0" w:space="0" w:color="auto"/>
      </w:divBdr>
      <w:divsChild>
        <w:div w:id="1304577642">
          <w:marLeft w:val="547"/>
          <w:marRight w:val="0"/>
          <w:marTop w:val="0"/>
          <w:marBottom w:val="0"/>
          <w:divBdr>
            <w:top w:val="none" w:sz="0" w:space="0" w:color="auto"/>
            <w:left w:val="none" w:sz="0" w:space="0" w:color="auto"/>
            <w:bottom w:val="none" w:sz="0" w:space="0" w:color="auto"/>
            <w:right w:val="none" w:sz="0" w:space="0" w:color="auto"/>
          </w:divBdr>
        </w:div>
      </w:divsChild>
    </w:div>
    <w:div w:id="1719355894">
      <w:bodyDiv w:val="1"/>
      <w:marLeft w:val="0"/>
      <w:marRight w:val="0"/>
      <w:marTop w:val="0"/>
      <w:marBottom w:val="0"/>
      <w:divBdr>
        <w:top w:val="none" w:sz="0" w:space="0" w:color="auto"/>
        <w:left w:val="none" w:sz="0" w:space="0" w:color="auto"/>
        <w:bottom w:val="none" w:sz="0" w:space="0" w:color="auto"/>
        <w:right w:val="none" w:sz="0" w:space="0" w:color="auto"/>
      </w:divBdr>
      <w:divsChild>
        <w:div w:id="97994366">
          <w:marLeft w:val="547"/>
          <w:marRight w:val="0"/>
          <w:marTop w:val="0"/>
          <w:marBottom w:val="0"/>
          <w:divBdr>
            <w:top w:val="none" w:sz="0" w:space="0" w:color="auto"/>
            <w:left w:val="none" w:sz="0" w:space="0" w:color="auto"/>
            <w:bottom w:val="none" w:sz="0" w:space="0" w:color="auto"/>
            <w:right w:val="none" w:sz="0" w:space="0" w:color="auto"/>
          </w:divBdr>
        </w:div>
      </w:divsChild>
    </w:div>
    <w:div w:id="1914049052">
      <w:bodyDiv w:val="1"/>
      <w:marLeft w:val="0"/>
      <w:marRight w:val="0"/>
      <w:marTop w:val="0"/>
      <w:marBottom w:val="0"/>
      <w:divBdr>
        <w:top w:val="none" w:sz="0" w:space="0" w:color="auto"/>
        <w:left w:val="none" w:sz="0" w:space="0" w:color="auto"/>
        <w:bottom w:val="none" w:sz="0" w:space="0" w:color="auto"/>
        <w:right w:val="none" w:sz="0" w:space="0" w:color="auto"/>
      </w:divBdr>
    </w:div>
    <w:div w:id="2003660288">
      <w:bodyDiv w:val="1"/>
      <w:marLeft w:val="0"/>
      <w:marRight w:val="0"/>
      <w:marTop w:val="0"/>
      <w:marBottom w:val="0"/>
      <w:divBdr>
        <w:top w:val="none" w:sz="0" w:space="0" w:color="auto"/>
        <w:left w:val="none" w:sz="0" w:space="0" w:color="auto"/>
        <w:bottom w:val="none" w:sz="0" w:space="0" w:color="auto"/>
        <w:right w:val="none" w:sz="0" w:space="0" w:color="auto"/>
      </w:divBdr>
      <w:divsChild>
        <w:div w:id="5130322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Mathers</dc:creator>
  <cp:lastModifiedBy>Kathleen Mathers</cp:lastModifiedBy>
  <cp:revision>3</cp:revision>
  <cp:lastPrinted>2020-05-04T17:11:00Z</cp:lastPrinted>
  <dcterms:created xsi:type="dcterms:W3CDTF">2020-05-19T16:32:00Z</dcterms:created>
  <dcterms:modified xsi:type="dcterms:W3CDTF">2020-05-19T17:07:00Z</dcterms:modified>
</cp:coreProperties>
</file>